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625A9" w14:textId="6314BFD4" w:rsidR="001F4829" w:rsidRPr="002838A7" w:rsidRDefault="001F4829" w:rsidP="001F4829">
      <w:pPr>
        <w:spacing w:before="100" w:beforeAutospacing="1" w:after="100" w:afterAutospacing="1" w:line="240" w:lineRule="auto"/>
        <w:outlineLvl w:val="1"/>
        <w:rPr>
          <w:rFonts w:ascii="Bookman Old Style" w:eastAsia="Times New Roman" w:hAnsi="Bookman Old Style" w:cs="Helvetica"/>
          <w:b/>
          <w:bCs/>
          <w:color w:val="585858"/>
          <w:kern w:val="36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585858"/>
          <w:kern w:val="36"/>
          <w:sz w:val="24"/>
          <w:szCs w:val="24"/>
          <w:lang w:eastAsia="pt-BR"/>
        </w:rPr>
        <w:t>A conjuntura pandêmica e o SUS</w:t>
      </w:r>
      <w:r>
        <w:rPr>
          <w:rFonts w:ascii="Bookman Old Style" w:eastAsia="Times New Roman" w:hAnsi="Bookman Old Style" w:cs="Helvetica"/>
          <w:b/>
          <w:bCs/>
          <w:color w:val="585858"/>
          <w:kern w:val="36"/>
          <w:sz w:val="24"/>
          <w:szCs w:val="24"/>
          <w:lang w:eastAsia="pt-BR"/>
        </w:rPr>
        <w:t xml:space="preserve"> </w:t>
      </w:r>
    </w:p>
    <w:p w14:paraId="0DAF8B3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i/>
          <w:iCs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i/>
          <w:iCs/>
          <w:color w:val="585858"/>
          <w:sz w:val="24"/>
          <w:szCs w:val="24"/>
          <w:lang w:eastAsia="pt-BR"/>
        </w:rPr>
        <w:t xml:space="preserve">Subsídio ao resgate e atualização do SUS constitucional (A luta continua) </w:t>
      </w:r>
    </w:p>
    <w:p w14:paraId="227C165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 xml:space="preserve">por </w:t>
      </w:r>
      <w:hyperlink r:id="rId4" w:tooltip="Posts de Nelson Rodrigues dos Santos" w:history="1">
        <w:r w:rsidRPr="002838A7">
          <w:rPr>
            <w:rFonts w:ascii="Bookman Old Style" w:eastAsia="Times New Roman" w:hAnsi="Bookman Old Style" w:cs="Helvetica"/>
            <w:b/>
            <w:bCs/>
            <w:color w:val="42708F"/>
            <w:sz w:val="24"/>
            <w:szCs w:val="24"/>
            <w:lang w:eastAsia="pt-BR"/>
          </w:rPr>
          <w:t>Nelson Rodrigues dos Santos</w:t>
        </w:r>
      </w:hyperlink>
    </w:p>
    <w:p w14:paraId="0D7105C2" w14:textId="77777777" w:rsidR="001F4829" w:rsidRPr="00820CEE" w:rsidRDefault="001F4829" w:rsidP="001F4829">
      <w:r w:rsidRPr="00820CEE">
        <w:t xml:space="preserve">[Publicado 16/11/2021 às 21:28 - Atualizado 16/11/2021 às 21:36 </w:t>
      </w:r>
      <w:proofErr w:type="spellStart"/>
      <w:r w:rsidRPr="00820CEE">
        <w:t>OutraSaúde</w:t>
      </w:r>
      <w:proofErr w:type="spellEnd"/>
      <w:r w:rsidRPr="00820CEE">
        <w:t xml:space="preserve"> https://outraspalavras.net/outrasaude/]</w:t>
      </w:r>
    </w:p>
    <w:p w14:paraId="43F69F45" w14:textId="77777777" w:rsidR="001F4829" w:rsidRPr="002838A7" w:rsidRDefault="001F4829" w:rsidP="001F4829">
      <w:pPr>
        <w:spacing w:before="100" w:beforeAutospacing="1" w:after="100" w:afterAutospacing="1" w:line="240" w:lineRule="auto"/>
        <w:jc w:val="right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</w:p>
    <w:p w14:paraId="6748F1F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TÓPICOS</w:t>
      </w:r>
    </w:p>
    <w:p w14:paraId="7477205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1. REFERENCIAL PRÉ-PANDÊMICO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– A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macroconjuntura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dos 33 anos pós-     constitucionais e as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microconjunturas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governamentais e ministeriais: – o SUS, o seu financiamento, a relação público-privada e o modelo constitucional de saúde.</w:t>
      </w:r>
    </w:p>
    <w:p w14:paraId="191F94E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2. PERÍODO PANDÊMICO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– No SUS, o descolamento federal das esferas estadual, municipal e da sociedade, sob a herança da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macroconjuntura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dos 33 anos.                                                    </w:t>
      </w:r>
    </w:p>
    <w:p w14:paraId="6B9F19EF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3. INUSITADO SENSO COMUM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– O abalo da pandemia na economia em todos os países e espaços na democratização das relações Sociedade-Estado.</w:t>
      </w:r>
    </w:p>
    <w:p w14:paraId="51B2C76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4. PROPOSTA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– Prioridade estratégica à assunção e construção da diretriz constitucional da Regionalização/Hierarquização.                                   </w:t>
      </w:r>
    </w:p>
    <w:p w14:paraId="5297C14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1º TÓPICO—REFERENCIAL PRÉ-PANDÊMICO</w:t>
      </w:r>
    </w:p>
    <w:p w14:paraId="22DDE5D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Partimos da riquíssima acumulação de avaliações e publicações sobre os 30 anos do SUS realizadas a partir de 2018, com destaque à retumbante inclusão social e prestigio do SUS com a realização da Universalidade antes de finalizar sua primeira década. Apesar do hercúleo esforço no rumo do modelo de saúde constitucional, a precária e/ou excepcional e/ou marginal realização da Equidade, Regionalização e Integralidade, com Atenção Básica efetivamente universal de alta resolutividade, vem sendo mantida em patamar impotente para a efetivação da mudança do modelo.</w:t>
      </w:r>
    </w:p>
    <w:p w14:paraId="35C6E296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 esfera executiva federal, parte mais intrínseca na estrutura do Estado nacional, vem sendo mais causal sobre o que, na média, permanece devido até nossos dias. Já no início dos 33 anos, desconsiderou a recomendação constitucional de 30% do Orçamento da Seguridade Social para o SUS, retirou o Fundo da Previdência Social do cálculo da parcela federal ao SUS, neutralizou o acréscimo da CPMF por meio de retração de outras fontes e, no Legislativo, negociou a substituição da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PEC-169 que destinava a SUS 10% da receita de cada esfera de governo, pela EC-29 que destinou 15% da receita Municipal e 12% da Estadual, permanecendo a Federal sem porcentagem da sua receita. Ao Executivo Federal se deve que o nosso per-capita do financiamento público universal na saúde permaneça nos 33 anos do SUS, entre 1/6 a 1/5 do praticado nos países da OCDE, cuja maioria contempla formatos de Estado de Bem Estar Social, também contemplado no Título da Ordem social da nossa Constituição.</w:t>
      </w:r>
    </w:p>
    <w:p w14:paraId="29EF75E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Nesses países a maioria os serviços privados complementares no interior do sistema público são realmente complementares, minoritários perante os públicos, e funcionam como se públicos fossem. Em nosso setor público de saúde pós-constitucional, permanece precária a elevação do financiamento, da eficácia, eficiência e governança voltadas à implementação do conjunto das diretrizes constitucionais. O forte desinvestimento federal na capacidade instalada pública integra, também nos 33 anos do SUS, a opção pela oferta de serviços ser complementada com a compra em entes privados: entre 65% (hospitalizações) e acima de 90% (diagnose e terapia). Por outro lado, a esfera federal, também nos 33 anos do SUS, passou a subsidiar fortemente as operadoras de planos privados com renúncia fiscal de valor maior que o lucro líquido por elas declarado, resultando o valor do per-capita médio dos 25% da população consumidora, 4 a 6 vezes maior que o dos 75% usuários do SUS. Assim, o gasto total da Saúde Suplementar para 25% da população, ultrapassa o gasto total com o SUS para os outros 75%.</w:t>
      </w:r>
    </w:p>
    <w:p w14:paraId="628AD77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Em função da reconhecida predominância dos valores do pluralismo e convivência em nossa sociedade, e da garantia constitucional desse convívio, não há como nos opor às práticas privadas, desde que:</w:t>
      </w:r>
    </w:p>
    <w:p w14:paraId="0379B59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a) na captação de clientela sigam os preceitos éticos vigentes quanto aos direitos humanos, do consumidor e dos protocolos científicos, e</w:t>
      </w:r>
    </w:p>
    <w:p w14:paraId="6F376FB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b) na opção da venda de serviços ao SUS, prestem serviços como se públicos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fossem, seguindo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os protocolos de condutas sob a lógica das diretrizes constitucionais da Universalidade, Equidade, Integralidade, Regionalização/Hierarquização, Controle Social e demais, isto é, o modelo de atenção “SUS”. Nesses termos, são possíveis em princípio: – entes privados de saúde contratados e conveniados pelos governos, OSs,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Oscips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PPP (parcerias público-privadas), planos de saúde pelas operadoras privadas, e outros formatos.</w:t>
      </w:r>
    </w:p>
    <w:p w14:paraId="3CC68D5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Retomaremos esta questão no 4o Tópico, mas desde já registrando que, nos 33 anos pós-constitucionais, as práticas privadas na saúde em regra desenvolvem-se ao inverso das condições a) e b) acima apontadas.</w:t>
      </w:r>
    </w:p>
    <w:p w14:paraId="2829EB4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Não há como não reconhecer nesses 33 anos pós-constitucionais, a evidência da constância de uma assumida estratégia federal para o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financiamento do SUS e relações com setor privado na saúde. Como se não bastasse, outra constância simultânea não menos preocupante, refere-se à precária e por vezes nula implementação das diretrizes constitucionais da Regionalização, Equidade e Integralidade. Para fins dos objetivos deste texto-subsídio, vemos a Região de Saúde como o conjunto de municípios limítrofes de diferentes portes, cujo conjunto conta com estrutura de saúde suficiente ou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pressuficiente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para o atendimento universal, integral e equitativo à saúde da população regional, com fácil acessibilidade intermunicipal. Em outras palavras: o SUS acontece constitucionalmente nos Municípios e Estados, mas só na Região de Saúde acontece como a menor célula sistêmica do SUS por propiciar a realização do conjunto das diretrizes constitucionais – modelo de atenção à saúde, inclusive refletindo as características de cada região: populacionais, socioculturais, epidemiológicas, econômicas, viárias, etc. Leve-se em conta que todos os países com sistemas públicos universalistas de saúde em todos os continentes, iniciando pela grande maioria dos europeus, esses sistemas consolidaram-se assumindo a Região de Saúde como a célula básica organizacional e funcional.</w:t>
      </w:r>
    </w:p>
    <w:p w14:paraId="6B32AE2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As diretrizes constitucionais do SUS, incluindo a Regionalização, tiveram suas raízes debatidas e assumidas desde os crescentes debates da gestação e nascimento do SUS nos anos 1970/1980: Simpósios Nacionais de Políticas de Saúde na Câmara dos Deputados, 8ª Conferência Nacional de Saúde, Comissão Nacional da Reforma Sanitária e Assembleia Nacional Constituinte, passando pelos debates do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dos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(em cada Estado) e do CONASEMS. Da mesma maneira, predominava há 33 anos, a visão e perspectiva dos serviços do SUS, privados complementares contratados, cingirem-se a situações especiais realmente complementares, perante a perspectiva coerente e responsável para o SUS, de investimento público na capacidade instalada própria, o que foi esvaziado pela esfera federal. E com relação aos serviços privados suplementares (planos e seguros privados), era constatado há 33 anos, se encontrarem em fase ainda incipiente quando comparado aos nossos dias. Como ocorreram essas perspectivas nesses 33 anos?</w:t>
      </w:r>
    </w:p>
    <w:p w14:paraId="124FAE9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Aprovada a Constituição, com barreiras até hoje não transpostas à construção da Regionalização/Hierarquização, apontaremos a seguir oito exemplos reais de exaustivas construções com base nas diretrizes constitucionais e Lei 8080/1990, que na etapa final foram descartadas pela instância federal:    </w:t>
      </w:r>
    </w:p>
    <w:p w14:paraId="15EA898A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1- Em 1995, oportuna oficina de trabalho sobre Regionalização patrocinada e organizada pelo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Opas, com participação do CONASEMS e Ministério da Saúde que, sob o positivo impacto da inclusão social pelo SUS, debateu e priorizou a implementação da Regionalização, com relatório final enfático pelo início imediato,</w:t>
      </w:r>
    </w:p>
    <w:p w14:paraId="61AB381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2- A NOB-1996 e as NOAS-2001/2002 albergaram crescentes dispositivos de implementação da Regionalização, debatidos e aprovados pelo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e MS, cuja implementação pressionava os limites dos repasses federais segundo metas estaduais e municipais pactuadas na Comissão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Intergestores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Tripartite (CIT).   </w:t>
      </w:r>
    </w:p>
    <w:p w14:paraId="0092C23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3- Em 2003, simultaneamente, a) implementação pela Secretaria Executiva do Ministério da Saúde (Secretário Gastão Wagner), de proposta inicial de Regionalização a ser debatida com 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e realização do oportuno Projeto Integrado para a Qualificação da Gestão Descentralizada, e b) entrada na Câmara Federal do PL-01/2003, com contrapartida federal de 10% da Receita Bruta da União, significando acréscimo ao SUS de 0,7% do PIB. Sua redação final aprovada ao final de 2004, após riquíssimo debate com representações do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CONASEMS, CNS, entidades da Reforma Sanitária e com as Comissões da Câmara dos Deputados: Seguridade Social e Família, Constituição e Justiça e Finanças/Tributação. Na redação final, enriquecida e aprovada (Substitutivo Guilherme Menezes), constou a vinculação estratégica desse acréscimo financeiro à implementação das diretrizes da Equidade Integralidade e Regionalização,</w:t>
      </w:r>
    </w:p>
    <w:p w14:paraId="193169E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4- Em 2006 novo ministro da Saúde respaldou amplo e elevado debate sobre o “Pacto pela Vida, em Defesa do SUS e de Gestão”, entre o MS,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e CNS e a favor dos 10% da RCB para o SUS,</w:t>
      </w:r>
    </w:p>
    <w:p w14:paraId="17B7DBE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5- Em 2007 no Senado foi apresentado e tramitado o PL-121/2007 resgatando o conteúdo do PL 01/2003 e também tramitou positivamente,</w:t>
      </w:r>
    </w:p>
    <w:p w14:paraId="037BA88A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6- Em 2011 a expedição do Decreto Federal 7508/2011, formulado pelo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Idisa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MS, que dispõe sobre conceitos e ângulos básicos do processo da Regionalização, mas sem força de Lei para articular a Regionalização entre as três esferas,</w:t>
      </w:r>
    </w:p>
    <w:p w14:paraId="39FD64C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7- Em 2012, na Câmara Federal foi novamente apresentado o conteúdo do PL-01/2003, agora como PL  141/2012, mas, foi para votação no plenário sob a condição de aprovação sem o artigo referente à elevação do financiamento federal. Resultou na Lei federal 141/2012, até hoje roteiro legal da implementação da Equidade, Integralidade e Regionalização, mas sem os recursos adicionais, e</w:t>
      </w:r>
    </w:p>
    <w:p w14:paraId="490FEFAF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8- Em 2013 o mesmo, novamente na Câmara dos Deputados, agora o PL 321/2013 com amplo apoio de mais de 100 entidades da sociedade civil, encabeçadas pelo CNS e CNBB, com mais de 2 milhões de assinaturas de eleitores.</w:t>
      </w:r>
    </w:p>
    <w:p w14:paraId="036AF66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Reafirmamos: – essas oito exaustivas construções das diretrizes constitucionais e inúmeras outras na mesma direção, foram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descartadas pela esfera federal na sua etapa final, e esse descarte, nesses 33 anos revelou-se gerado acima do próprio Ministério da Saúde, que por sua vez revelou-se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Ministério de Governo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subalterno aos ministérios de Estado: os da Casa Civil, da Fazenda/Planejamento/Orçamento/Gestão e o da Defesa. Esses são os que articulam na bancada situacionista do Legislativo as votações e tramitações dos projetos de Lei, inclusive sua retirada da pauta de votação no plenário, o que aconteceu nos oito exemplos acima. Essa mesma hegemonia dos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ministérios de Estado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com maior ou menor resistência no Ministério da Saúde, nucleou nesses 33 anos, as reais relações do SUS com os subsistemas privados de saúde, o complementar e o suplementar, conforme já apontado sinteticamente. Também reconhecemos a clara precedência da hegemonia expressada, tanto implícita como explicitamente pela esfera federal, nos 33 anos pós-constitucionais, na correlação de forças do desenvolvimento do SUS: – impondo-se frequentemente como política de Estado na sua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macroeestrutura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política e de financiamento que aqui resumimos. Por isso as abordagens e reflexões neste texto, referem-se à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macroconjuntura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dos 33 anos, que vemos submeter as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subconjuturas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de cada mandato governamental, suas coligações partidárias e mandatos ministeriais (estes, na Saúde, com duração média pouco mais de 1 ano).  </w:t>
      </w:r>
    </w:p>
    <w:p w14:paraId="397A86A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 Na realidade, até 2019, véspera da pandemia COVID-19, a “militância SUS”, desde os trabalhadores de saúde na Atenção Básica e conselhos locais de saúde, até os profissionais especializados em serviços públicos de transplantes de órgãos e tecidos,  gestores municipais (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/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), estaduais (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) e federal (MS), a produção acadêmica de ensino e pesquisa para o SUS, e entidades da sociedade, conseguiram o desenvolvimento de estratégias de resistência e avanços possíveis em todos os níveis do sistema, comprovando na prática o acerto das diretrizes constitucionais, e por isso, bandeiras inarredáveis. E mais: cientes em concentrar esforços para a continuidade dos avanços possíveis na implementação do modelo SUS, reconhecendo a faixa estreita perante o volume de serviços prestados, mas, nesses 33 anos, comprovando na prática a excelência da política pública constitucional. E assim, impedir ou postergar o seu desmanche e aguardar mudanças civilizatórias no Estado nacional, efetivamente voltadas para as diretrizes constitucionais. Como se desenvolve essa faixa estreita a partir da pandemia?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br/>
        <w:t> </w:t>
      </w:r>
    </w:p>
    <w:p w14:paraId="2C8BD2D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2º TÓPICO—PERÍODO PANDÊMICO</w:t>
      </w:r>
    </w:p>
    <w:p w14:paraId="0B2346D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Já no início de 2020, com a pandemia COVID-19, as três esferas de governo assumiram brevíssimo período inicial de construção conjunta de ações para diagnóstico de situações de risco, estratégias preventivas e assistenciais locais, regionais, estaduais e nacional. Logo a seguir, todo o escalão técnico do Ministério da Saúde mais experiente, foi substituído por militares com outras “expertises”, a esfera federal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enveredou para posicionamentos e ações contra os afastamentos sociais, máscaras e vacinas, assim como adquirindo e distribuindo medicamentos comprovadamente ineficazes, em conluio com parte dos produtores e distribuidores, isto é, explicitamente negacionistas e charlatanistas, seguidos por um séquito de colaboracionistas.</w:t>
      </w:r>
    </w:p>
    <w:p w14:paraId="636242D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 Comissão Parlamentar de Inquérito em curso no Senado já checou e apurou as negativas e postergações na aquisição de vacinas, e ação de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lobismos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corrupção nas importações postergadas, que junto a oferta governamental de medicamentos ineficazes, expôs parte da população à doença, com pelo menos 100 mil óbitos evitáveis.</w:t>
      </w:r>
    </w:p>
    <w:p w14:paraId="4BAAC83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Apesar da hegemonia da esfera federal nos 33 anos na gestão do SUS, a experiência acumulada da gestão descentralizada (estadual e municipal), </w:t>
      </w:r>
      <w:proofErr w:type="spellStart"/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contra-hegemônica</w:t>
      </w:r>
      <w:proofErr w:type="spellEnd"/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mas junto a entidades da sociedade, academia, poder Legislativo e outras, vem compensando parcialmente o grande vácuo imposto pela esfera federal e sua influência na opinião pública.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 gestão estadual e municipal vêm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se desdobrando com criatividade e articulações suficientes para a formulação e realização de ações intensivas e contínuas, na prevenção e assistência, no limite dos seus recursos e dos efeitos das distorções federais. Desde o início, acatando as recomendações e protocolos da OPAS/OMS, da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FIOCruz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das nossas universidades, chegando em alguns casos a resgatar a gestão regional, avançando na visão do pacto federativo. Contra a correnteza federal, a partir de 2020 foi assumido pela opinião pública e comunicadores sociais, o reconhecimento pelo desempenho do SUS, respaldado pelas Secretarias Estaduais e Municipais de Saúde às medidas preventivas (distanciamentos sociais, máscaras, higienizações, até orientações voltadas para novos processos de trabalho, etc.) e assistenciais (ambulatoriais e hospitalares), em regra, com maior impacto nas Regiões socialmente mais vulneráveis.</w:t>
      </w:r>
    </w:p>
    <w:p w14:paraId="71CF897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Com relação à imunização, ridicularizada e postergada pela esfera federal, esta acabou cedendo, ainda que parcialmente, somente a partir de Dez/2020 e Jan/2021, acuada pela movimentação estadual e municipal para importação direta de vacinas, como também pela comoção nacional do atroz pico da mortalidade no Amazonas, sem oxigênio nas UTIs. As estimativas de doentes e mortes evitáveis por COVID-19 em nosso país, suscitam desde o início, declarações e manifestações na cúpula federal, apontando para inacreditável postura mística paranoide, de que a mortalidade pela seleção natural darwinista precede os avanços civilizatórios do direito à saúde e à vida, assumidos pela quase totalidade das sociedades e países. Aproximamos hoje de 22 milhões de doentes de COVID-19 e 600 mil mortes, incluídas as de 530 na Enfermagem e 470 na Medicina. Apesar do negacionismo e postergações federais, ainda assim prevaleceu em nossa população a imagem confiável deixada pelo SUS e seu Programa Nacional de Imunização-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PNI :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– em Julho/2021, 56% da população aguardava sua 1ª dose e 38% aguardava sua 2ª dose, totalizando 94%. Em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Setembro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/2021, o governo federal descarta os jovens sadios da vacinação, e após duas semanas de grande reação social e dos meios científicos e de comunicação, revê a decisão.</w:t>
      </w:r>
    </w:p>
    <w:p w14:paraId="41DAAAB9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Retomando o grande reconhecimento social pelo desempenho do SUS no enfrentamento da pandemia, muito nos preocupa que para o SUS, essa inabdicável priorização emergencial, respaldada pela riquíssima experiência de 33 anos, acabou sento viabilizada em prejuízo e restrição das demais atividades prioritárias do SUS frente à totalidade das necessidades de saúde da população, inclusive as efetivamente realizadas na estreita faixa de sucesso referida ao final do 1º TÓPICO. A ponto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da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omissão federal gerar iniciativas e intervenções pelo Congresso Nacional, pelo Supremo Tribunal Federal e até pelo Tribunal de Contas da União, com base na Constituição, visando apoio ao exercício das responsabilidades básicas dos Estados e Municípios.</w:t>
      </w:r>
    </w:p>
    <w:p w14:paraId="7CD45019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Com a persistência e até elevação da retração federal a partir de 2020 no suporte financeiro, programático e de governança no SUS, emerge preocupante “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micro-conjuntura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” referente ao próprio SUS, a seguir apontada:</w:t>
      </w:r>
    </w:p>
    <w:p w14:paraId="7811C79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a) a gestão descentralizada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/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/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salvo raras exceções, priorizou a prevenção da Covid-19 e sua assistência ambulatorial e hospitalar, o que gerou as expressivas manifestações de reconhecimento social ao SUS,</w:t>
      </w:r>
    </w:p>
    <w:p w14:paraId="5D21E28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b) ainda assim, não conseguiu conter o aumento de 30% nos óbitos por causas mal definidas, onde certamente constam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sub-notificações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de óbitos por Covid-19 nos estratos de população mais pobre e desassistida,    </w:t>
      </w:r>
    </w:p>
    <w:p w14:paraId="77FB9786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c) queda do grau de integração e capacitação para a governança, assim como a coordenação pelo SUS do financiamento, ampliação, qualificação e proteção das próprias equipes de saúde, desarticulando a manutenção dos cuidados básicos de rotina, incluindo as situações de risco materno, infantil, do trabalho, dos crônicos, etc., (somente as consultas médicas caíram pela metade), e</w:t>
      </w:r>
    </w:p>
    <w:p w14:paraId="09F0EB04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d) emergência de vulnerabilidades e mesmo retrocessos em programas tidos até então como mais consolidados, inclusive desarticulando grande parte da nossa rede de Atenção Básica.  </w:t>
      </w:r>
    </w:p>
    <w:p w14:paraId="7A74AB54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Ainda que no campo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contra-hegemônico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estas e outras avaliações e buscas oportuníssimas, além do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Conasems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vem sendo também realizadas por respeitados gestores e estudiosos do SUS como Gastão Wagner de Sousa Campos. Pequenos trechos de reflexão de Gastão Wagner em texto de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Junho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/2021: – “A pandemia retirou o SUS da invisibilidade na qual a classe média, a mídia e os formadores de opinião o haviam colocado ao longo dos últimos 30 anos. Passados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esses meses da Pandemia, sem sombra de dúvida, o valor e a necessidade do SUS para enfrentar a epidemia, mas também para cuidar da saúde da população, ganhou mais visibilidade. Parcelas dos intelectuais, de vários matizes políticos e ideológicos, passaram a reconhecer que o Brasil precisa do SUS. Noticiários populares fazem homenagem ao SUS e seus trabalhadores.” “Na prática, houve uma desorientação generalizada, resultando na redução do cuidado antes dispensado aos portadores de agravos crônicos, crianças e gestantes, sem que, todavia, houvessem sido construídos novos arranjos para diagnóstico precoce, rastreamento e isolamento de suspeitos de infecção e comunicantes do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coronavirus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.” “Não se logrou armar apoio e suporte nacional para que a rede de APS conseguisse controlar a transmissão do vírus durante e depois do abrandamento das medidas de isolamento social.” “O resultado é o genocídio, meio milhão de mortes, a maioria evitável e, portanto, desnecessária.”</w:t>
      </w:r>
    </w:p>
    <w:p w14:paraId="68DD9C2A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Destacam-se também os oportunos estudos e proposições de elevado nível técnico e estratégico da Plataforma Região e Redes, coordenados por Ana Luiza D’Avila Viana, que resgatam a diretriz da Regionalização para primeiro plano estratégico da construção do SUS, e da Plataforma Outra Saúde, coordenada por Maira Mathias e Raquel Torres, informativa, analítica, propositiva e contínua, e inúmeras outras iniciativas de elevado nível.</w:t>
      </w:r>
    </w:p>
    <w:p w14:paraId="18BCF1C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Não há como não relacionar essa preocupante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microconjuntura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agudizando opressão sobre o desempenho do SUS, à intensificação da estratégia hegemônica da real política de Estado há 33 anos, que vem promovendo a diretriz da Universalidade, porém sob contundente repressão das diretrizes da Equidade, Integralidade e Regionalização, lembrada no 1º TÒPICO. Não houvesse a hegemonia dessa estratégia de Estado, nesses 33 anos o modelo SUS seguramente teria avançado e consolidado.  </w:t>
      </w:r>
    </w:p>
    <w:p w14:paraId="2393C55F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Decorrências atuais no campo do mercado na saúde, são a efetivação de iniciativas concretas e proposições de expansão do mercado para demandas reprimidas, como: rede Dr. Consulta, planos privados mais baratos, venda de cirurgias mais simples usando as listas de espera vigentes, empréstimos bancários especiais para comprar procedimentos pós-consulta sujeitos a longa espera, compra desses serviços pelo próprio SUS, projetos de delegação para hospitais privados coordenarem a Atenção Básica no seu entorno, tornar o SUS um prestador de serviços para empresas de planos privados, e o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vaucher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proposto pelo ministro da Economia.</w:t>
      </w:r>
    </w:p>
    <w:p w14:paraId="770786D4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Também paralelamente, ocorrem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megadistorções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desvios como o ruidoso caso de grande empresa privada paulista de planos de saúde para idosos, com 8 hospitais e 4 ambulatórios próprios, com faturamento anual entre 2014 e 2019 elevado de R$ 1 para 3,5 bilhões e lucro anual de 56 para 410 milhões, sob investigação policial por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tratamento de segurados com COVID-19, com medicamentos ineficazes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contra-indicados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alteração de prontuários, omissão de causa-mortis e manipulação de prontuários médicos, com estudo “científico” elogiado e divulgado pela presidência da República em redes sociais em 18/04/2020.  </w:t>
      </w:r>
    </w:p>
    <w:p w14:paraId="76CC717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Essas “micro e macro” iniciativas mercadológicas, contundentemente antissociais 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antidireitos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humanos, desde às mais centrais às mais periféricas, são geradas no campo hegemônico da nossa real política de saúde há 33 anos. Vale referir aspectos da atual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performance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conservadora, com base em recentes e oportunas análises de pesquisas de opinião:</w:t>
      </w:r>
    </w:p>
    <w:p w14:paraId="1C2ADFF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—– a “direita” com apoio assumido ao atual governo federal vem oscilando entre 20 – 25% da população, nucleada nos predadores da natureza, em grande parte dos pentecostais ortodoxos com grande fatia de concessões de meios de comunicação, em setores militares incluindo a polícia militar, milícias, indústria de armas e parte das camadas sociais médias,</w:t>
      </w:r>
    </w:p>
    <w:p w14:paraId="33DFD86F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—– hoje, entre os maiores de 16 anos, 22% apoiam o governo federal, mas no “patronato” esse apoio é de 47%,</w:t>
      </w:r>
    </w:p>
    <w:p w14:paraId="2D7EE6E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—– a grande maioria dessa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direita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em 2018, avaliou o atual governo federal como ótimo e bom, confiando no que ele diz, mas sabendo que com sua queda, volta-se à invisibilidade, e</w:t>
      </w:r>
    </w:p>
    <w:p w14:paraId="786CF7D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 —– em agosto/2020, foram estimados como militantes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heavy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dessa direita 17% dos eleitores, que em setembro/2021 passaram a 11%.  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14:paraId="076C0D3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3º TÓPICO – INUSITADO SENSO COMUM</w:t>
      </w:r>
    </w:p>
    <w:p w14:paraId="57435C88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Os vários graus e formas de distanciamentos sociais por iniciativas individuais e por protocolos sanitários assumidos em todos os continentes produziram, em 2020/2021, abalo médio estimado em 10% na economia. O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epicentro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desse abalo deu-se no maior campo das atividades socioeconômicas: – o da produção e prestação de serviços, em especial os interpessoais presenciais, e aglomerações como os transportes coletivos, eventos culturais, esportivos, religiosos, políticos e outros, que somados compõem 70% do nosso PIB. Reação imediata ao </w:t>
      </w:r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abalo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: – na mesma proporção, grande salto nos investimentos para acesso a serviços não ou pouco presenciais: na alta tecnologia, informática, robótica, trabalho remoto, telemedicina, etc. A nível planetário, vem levando a profunda adequação na estrutura, processos e relações de trabalho. Novas tensões na relação Sociedade-Estado vêm surgindo tanto sob avanços (predominantes) como retrocessos civilizatórios (menos frequentes). Aparentemente as estruturas estatais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e as sociedades não estavam culturalmente preparadas até 2020, não só para a assimilação, entendimento e controle mais precoce dessa pandemia, como também dos abalos nas economias, nas relações sociais, políticas e Sociedade-Estado. No Brasil elevam-se intensamente o desemprego, os autônomos pobres, as terceirizações, a pauperização e as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pejotizações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visando menor tributação. Temos hoje 15 milhões de desempregados, 6 milhões de desalentados, 117 milhões em insegurança alimentar e 19 milhões com fome, além dos 22 milhões com COVID-19 que geraram 600 mil mortos. Sob os abalos pela pandemia, aparentemente perduram em todos os continentes: –</w:t>
      </w:r>
    </w:p>
    <w:p w14:paraId="4E41A2A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a) a maioria dos países com estratégias menos claras sob o ângulo civilizatório, a maior parte buscando mera sobrevivência, e no outro extremo, alguns poucos, no centro da disputa pela hegemonia na atual etapa do modelo da globalização,</w:t>
      </w:r>
    </w:p>
    <w:p w14:paraId="470A957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 b) a seguir, em grande número de países, com predomínio dos Estados de Bem Estar Social, aparenta processo de avanço civilizatório nas relações sociais e da Sociedade-Estrutura do Estado, a favor dos direitos humanos, de avanços legislativos e de projeto de nação e de bloco continental, e</w:t>
      </w:r>
    </w:p>
    <w:p w14:paraId="7C14250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c) em menor número de países também em todos os continentes, onde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nos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incluímos, ainda que ancorados no voto popular desde a fase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pré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-pandêmica, constam marcantes retrocessos radicalmente conservadores e até obscurantistas, que se expressam de modo contundente. Nestes últimos, uma das raízes dos retrocessos parece encontrar-se no aprofundamento das frustrações da ascensão social em crescentes segmentos médios, no contexto da assombrosa concentração da renda, riqueza e ativos financeiros vigente na atual globalização, assim como na insegurança e frustração desses segmentos em participação mais efetiva nas políticas de Governo e/ou no projeto de nação e Estado. A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conjuminação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desses dois fatores durante certo tempo, pode favorecer a emergência de lideranças carismáticas, obscurantistas e violentas, que, sob o ângulo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psico-social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tal qual nas adesões ao “linchamento”, pode capturar adesões nesses segmentos com vistas ao poder de Estado, eleitoralmente ou não. Foram os fatos históricos comprovados do nascimento e evolução do fascismo e nazismo na Itália e Alemanha no século 20 e as recentes tentativas nas últimas eleições presidenciais no EUA e Brasil. É o “ovo da serpente” bem alertado no texto “Entre o Ridículo e o Ameaçador” de André Singer em 19/Set (site </w:t>
      </w:r>
      <w:hyperlink r:id="rId5" w:history="1">
        <w:r w:rsidRPr="002838A7">
          <w:rPr>
            <w:rFonts w:ascii="Bookman Old Style" w:eastAsia="Times New Roman" w:hAnsi="Bookman Old Style" w:cs="Helvetica"/>
            <w:color w:val="42708F"/>
            <w:sz w:val="24"/>
            <w:szCs w:val="24"/>
            <w:u w:val="single"/>
            <w:lang w:eastAsia="pt-BR"/>
          </w:rPr>
          <w:t>aterraehredonda@gmail.com</w:t>
        </w:r>
      </w:hyperlink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), onde destaca indispensável uma unidade ativa da esquerda, centro e direita, para, sem abdicar dos antagonismos entre si, reunir condições e forças para retorno do “ovo da serpente” à  hibernação que só se consolida com o avanço civilizatório.</w:t>
      </w:r>
    </w:p>
    <w:p w14:paraId="2BDC9B7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Em contraposição ao atual retrocesso civilizatório, vale lembrar outros momentos históricos como nos anos 1980 em nosso país, quando foi realizado, com crescente e grandiosa participação social, amplo debate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rumo a um projeto de sociedade e nação, inverso ao projeto da ditadura que se extinguia, consubstanciado no Título da Ordem Social da Constituição/1988. Vislumbramos possibilidade atual de retomada nessa perspectiva, agora acrescido da crítica aos formatos de submissão do Estado, sem ouvir a sociedade, à hegemonia da acumulação financeira neoliberal dos últimos 33 anos. Que o diga o inusitado sucesso da atenção universal à saúde, que, mesmo com a precária ou quase sempre simbólica realização da Equidade, Integralidade e Regionalização, vem merecendo sua defesa pela população, inclusive em momentos críticos como o da pandemia. Até porque no processo histórico, 33 anos foi ontem.</w:t>
      </w:r>
    </w:p>
    <w:p w14:paraId="4944E0B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Na atual conjuntura, a inesperada desproteção social à pandemia e o já referido “abalo” médio de 10% na Economia, parecem remeter para estremecimento das relações sociais, políticas, culturais e morais, e na relação Sociedade-Estado, aflorando:</w:t>
      </w:r>
    </w:p>
    <w:p w14:paraId="726CFCE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—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dinâmica das relações dentro da sociedade, nas relações de reconhecimento e convivência entre seus vários segmentos, com vistas a pactos sociais mais avançados, incluindo nosso país,</w:t>
      </w:r>
    </w:p>
    <w:p w14:paraId="5A2F2DD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—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dinâmica das relações Sociedade-Estado (Executivo, Legislativo e Judiciário) nas esferas Federal, Estadual e Municipal, com vistas a espaços potenciais de avanço na democratização e pactos federados,  </w:t>
      </w:r>
    </w:p>
    <w:p w14:paraId="5EFF728A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—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importância de análises e prospecções que vem se acumulando em função das referidas pactuações, incluindo avanços e retrocessos civilizatórios em cada país em todos os continentes, e no Brasil até o momento, a opinião pública, os esforços democráticos e importantes segmentos do empresariado e das Forças Armadas, se opondo à expansão e radicalização ditatorial e obscurantista na esfera federal, e</w:t>
      </w:r>
    </w:p>
    <w:p w14:paraId="08DA109F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—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alternativa de pactos sociais voltados para a construção de uma “Social Democracia Brasileira” com base no resgate dos nossos avanços constitucionais de 1988, incorporando aos aprendizados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sócio-econômicos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político-institucionais dos últimos 33 anos.</w:t>
      </w:r>
    </w:p>
    <w:p w14:paraId="30BC5A3C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Recente análise pela FGV Social da pesquisa Gallup World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Poll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em 40 países, reconhece ao nível global, a “média” na direção do controle da pandemia e sua participação na redução da desigualdade social. O contrário vem ocorrendo em nosso país: aqui, essa análise com base no PNAD, aponta que de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Fevereiro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/2020 a Fevereiro/2021 nossos 40% mais pobres pioraram em 10,5% sua avaliação sobre a qualidade do sistema de saúde, os 20% “do meio” pioraram em 7% e os 40% mais ricos mantiveram sua avaliação estável. Estudo do nosso IPEA revelou que 79,6% dos óbitos por COVID-19 no Rio de Janeiro foram nas áreas mais pobres, e na cidade de S. Paulo, estudo de 19,5 mil mortes por COVID-19 revelou que nos distritos com mais de 10% da população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com renda per-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cápita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abaixo de R$275,00, morreram 70% mais por COVID-19 do que nas regiões mais ricas.     </w:t>
      </w:r>
    </w:p>
    <w:p w14:paraId="44DE8BA9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olor w:val="000000"/>
          <w:sz w:val="24"/>
          <w:szCs w:val="24"/>
          <w:lang w:eastAsia="pt-BR"/>
        </w:rPr>
        <w:t>4º TÓPICO – PROPOSTA</w:t>
      </w:r>
    </w:p>
    <w:p w14:paraId="28A0A066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—— Ampliar, mobilizar e priorizar desde já o debate estratégico (político, técnico e jurídico), para a implementação da diretriz constitucional da Regionalização/Hierarquização das ações e serviços do SUS, iniciando por Regiões de Saúde mais viáveis em cada Estado, agregando a decisiva contrapartida do financiamento federal,   </w:t>
      </w:r>
    </w:p>
    <w:p w14:paraId="35361FE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Pressupostos básicos:</w:t>
      </w:r>
    </w:p>
    <w:p w14:paraId="7872B94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a) a construção da Regionalização deve fazer sentido à vida das pessoas na região, com desenvolvimento da consciência do direito humano à saúde no espaço municipal e intermunicipal da Atenção Integral acessível, acolhedora e resolutiva, desde a Atenção Básica às especialidades assistenciais, acolhendo e cobrindo pelo menos 80% da população regional, incluindo os segmentos sociais médios e médio-altos,  </w:t>
      </w:r>
    </w:p>
    <w:p w14:paraId="6439F8BC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b) tal como a CIT ao nível nacional 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CIBs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no estadual, as Comissões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Intergestores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Regionais-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CIRs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são expressão legal dos níveis de governo e legítimas para deliberar, com base na Lei 141/2012 e Decreto 7508/2011, sobre o diagnóstico e planejamento regional dos serviços do SUS, seu formato de gestão pública, sua execução, e avaliação dos resultados, do custo-efetividade, e demais indicadores, ouvidos os Conselhos Municipais de Saúde e/ou sua representação regional, </w:t>
      </w:r>
    </w:p>
    <w:p w14:paraId="1F082388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c) a gestão regional do SUS significa salto qualitativo na realização das deliberações conjuntas das Secretarias Estaduais e Municipais de Saúde em função da aplicação das diretrizes constitucionais na Região de Saúde. Em nível mais elevado de pactuação na Região de Saúde, os Municípios e Estados testarão e adotarão, sem superposições, formato de gestão pública,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consorcial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ou não, na gestão regional de recursos materiais, humanos e dos serviços, além do equacionamento de pendências como:  — incorporação efetiva das UPAS (mais de 500 e outro tanto em construção), AMES e similares ao âmbito da concepção e gestão da Atenção Básica, incluindo suporte à qualidade e resolutividade das UBS e ESF, assim como a transformação dos hospitais de pequeno porte em unidades mistas de apoio ambulatorial, laboratorial, capacitação de pessoal de saúde e outros, e      </w:t>
      </w:r>
    </w:p>
    <w:p w14:paraId="1647ED14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d) a dependência financeira, política e estratégica à esfera federal, vem há 33 anos retardando e distorcendo inestimável espaço político-institucional na construção da parceria e sinergismo entre Estados e Municípios, período esse, comprovadamente suficiente para que a construção da Regionalização já houvesse atingido seu acerto e irreversibilidade. Ao contrário, essa diretriz constitucional, nesse prazo,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 xml:space="preserve">vem sendo ofuscada e desconsiderada, sob 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sub-financiamento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verticalismo federal, com pulverização entre 27 Estados e 5.570 Municípios.</w:t>
      </w:r>
    </w:p>
    <w:p w14:paraId="605ED57B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Sublinharemos abaixo quatro desdobramentos da proposta sublinhada no início deste 4o tópico, pressupondo fortemente, que se fossem aplicados há 33 anos, sob as expectativas e mobilização da sociedade e dos parlamentares na época, que debateram e aprovaram a Constituição e as Leis 8080/1990 e 8142/1990, seguramente estariam mais próximos de correções e início imediato de aplicação. Mas na atual conjuntura soam como inexequíveis ou até impensáveis. Por isso retomamos as reflexões expostas no tópico anterior, acerca dos abalos e/ou estremecimentos na relação Sociedade-Estado, que vemos apontar para “janela histórica” reabrindo para mobilizações sociais, democratização do Estado, resgate do SUS constitucional e viabilização dos quatro desdobramentos:      </w:t>
      </w:r>
    </w:p>
    <w:p w14:paraId="3130B8E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 1) elevação dos investimentos federais nos serviços públicos em todos os níveis, recuperando o disposto inicialmente na Constituição, e sob critérios definidos pela estratégia da Regionalização/Hierarquização,</w:t>
      </w:r>
    </w:p>
    <w:p w14:paraId="353190D7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2) modernização da gestão pública em todos os níveis, visando cumprir o direito constitucional da Universalidade, Equidade, Integralidade e demais, sob construção da governança ao nível regional, otimização da relação custo-efetividade, da economia de escala, participação dos trabalhadores de saúde sem corporativismos, transparência e participação da população usuária, etc.   </w:t>
      </w:r>
    </w:p>
    <w:p w14:paraId="498E60AC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3) os serviços privados complementares do SUS, incluindo as OS, OSCIP, as PPP e outros formatos, deverão ser efetivamente regulados para atuar como se públicos </w:t>
      </w:r>
      <w:proofErr w:type="gram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fossem, visando</w:t>
      </w:r>
      <w:proofErr w:type="gram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o cumprimento cabal de todas as diretrizes legais do modelo de atenção “SUS”, rompendo com práticas mercado/acumulação de capital: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lobismos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, exclusivismos, monopólios, corporativismo e outros, sob pena de ruptura de contrato e respectiva elevação de investimento em próprios públicos, e</w:t>
      </w:r>
    </w:p>
    <w:p w14:paraId="761F74C8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4) no caso dos privados suplementares (mercado dos planos e seguros privados), a relação com o governo deverá ser reprogramada com prazos e etapas, objetivando regra geral de substituir seu financiamento público (renúncia fiscal e outras formas de subsídio público), pela assunção das leis de mercado, com realocação integral dos respectivos recursos federais, também por etapas, à implementação da diretriz constitucional da Regionalização/Hierarquização no SUS. As exceções e desdobramentos dessa regra geral deverão constar em regulamentação debatida e aprovada na CIT e CNS.  </w:t>
      </w:r>
    </w:p>
    <w:p w14:paraId="2FD015B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Finalizando, reafirmamos posição de que as reflexões expostas no 3o TÓPICO permanecerão durante e após o atual “vendaval” extrema-direita brasileira, vendaval gerado no ventre do conjunto da própria </w:t>
      </w: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lastRenderedPageBreak/>
        <w:t>sociedade. Tanto na sua vigência como após esse vendaval, permanecem os desafios estruturais federais de 33 anos no financiamento e estruturação do modelo de atenção à saúde do SUS constitucional.</w:t>
      </w:r>
    </w:p>
    <w:p w14:paraId="5CDEE1E1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Gonzalo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Vecina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reflete que apesar das atuais desgraças de origem federal, entre elas a epidemiológica com a pandemia, o SUS tão maltratado em sua trajetória, vem, pelos Estados e Municípios, sendo o ponto alto a favor da população. Aponta que a Atenção Básica, muito prejudicada e desarticulada, requer estratégias de recriação, elevação da cobertura e resolutividade, além da elevação e reestruturação do financiamento em todos os níveis do sistema. Ele refere: –</w:t>
      </w:r>
    </w:p>
    <w:p w14:paraId="6D8C55FE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a) importância da rede das UPAS e AMES não significar mero amortecimento e compensação da baixa cobertura efetiva e resolutividade da ABS, mas sim, integrar a ABS na sua concepção, qualificação, expansão e gestão e</w:t>
      </w:r>
    </w:p>
    <w:p w14:paraId="3BCBE8A3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b) os hospitais de pequeno porte devem der adaptados para unidades mistas sem internação, mas com atividades de apoio adequado ao perfil regional: atenção ambulatorial especializada, capacitação de recursos humanos de saúde, coleta de material para exames laboratoriais, etc.</w:t>
      </w:r>
    </w:p>
    <w:p w14:paraId="18A87655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Segundo Gonzalo, devemos mobilizar e estruturar a construção das Regiões de Saúde, o que implica na própria construção do nosso Estado constitucional. Enfatiza nessa construção, que a oferta da Atenção Integral e Equitativa à Saúde deve se dar sob o paradigma da Avaliação Tecnológica em Saúde, economia de escala (salvo exceções atreladas às diretrizes do SUS), relação custo-efetividade e participação efetiva dos Conselhos de Saúde. Quanto à eleição e ascensão do atual governo federal Gonzalo indaga quais erros e equívocos políticos e de gestão foram cometidos em etapas e governos anteriores, que propiciaram a emergência do governo atual e seus desatinos na saúde e além da saúde. Acrescentamos: sem o que, permanecemos menos credibilizados, e ainda vulneráveis junto às maiorias.    </w:t>
      </w:r>
    </w:p>
    <w:p w14:paraId="11D04870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</w:pP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Jurandi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Frutuoso destaca seis prioridades desde já: a) expandir a consciência política para os direitos sociais, b) estender a rede de APS, elevar sua resolutividade, incluindo o campo da </w:t>
      </w:r>
      <w:proofErr w:type="spellStart"/>
      <w:r w:rsidRPr="002838A7">
        <w:rPr>
          <w:rFonts w:ascii="Bookman Old Style" w:eastAsia="Times New Roman" w:hAnsi="Bookman Old Style" w:cs="Helvetica"/>
          <w:i/>
          <w:iCs/>
          <w:color w:val="000000"/>
          <w:sz w:val="24"/>
          <w:szCs w:val="24"/>
          <w:lang w:eastAsia="pt-BR"/>
        </w:rPr>
        <w:t>tele-saúde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, c) incorporar os leitos criados durante a pandemia, d) fortalecer a rede nacional de vigilância em saúde, e) fortalecer a CIT,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CIBs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 </w:t>
      </w:r>
      <w:proofErr w:type="spellStart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>CIRs</w:t>
      </w:r>
      <w:proofErr w:type="spellEnd"/>
      <w:r w:rsidRPr="002838A7">
        <w:rPr>
          <w:rFonts w:ascii="Bookman Old Style" w:eastAsia="Times New Roman" w:hAnsi="Bookman Old Style" w:cs="Helvetica"/>
          <w:color w:val="000000"/>
          <w:sz w:val="24"/>
          <w:szCs w:val="24"/>
          <w:lang w:eastAsia="pt-BR"/>
        </w:rPr>
        <w:t xml:space="preserve"> em suas pactuações e competência política na implementação das diretrizes constitucionais, e f) priorizar as pactuações tri e bipartites, perante o lado volúvel da alta rotatividade dos ministros e secretários de Saúde.</w:t>
      </w:r>
    </w:p>
    <w:p w14:paraId="7E77B4F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fldChar w:fldCharType="begin"/>
      </w: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instrText xml:space="preserve"> HYPERLINK "https://outraspalavras.net/author/nelsonrodriguesdossantos/" </w:instrText>
      </w: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fldChar w:fldCharType="separate"/>
      </w:r>
    </w:p>
    <w:p w14:paraId="516593F6" w14:textId="77777777" w:rsidR="001F4829" w:rsidRPr="002838A7" w:rsidRDefault="001F4829" w:rsidP="001F4829">
      <w:pPr>
        <w:spacing w:before="100" w:beforeAutospacing="1" w:after="100" w:afterAutospacing="1" w:line="240" w:lineRule="auto"/>
        <w:outlineLvl w:val="4"/>
        <w:rPr>
          <w:rFonts w:ascii="Bookman Old Style" w:eastAsia="Times New Roman" w:hAnsi="Bookman Old Style" w:cs="Helvetica"/>
          <w:b/>
          <w:bCs/>
          <w:caps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b/>
          <w:bCs/>
          <w:caps/>
          <w:color w:val="585858"/>
          <w:sz w:val="24"/>
          <w:szCs w:val="24"/>
          <w:lang w:eastAsia="pt-BR"/>
        </w:rPr>
        <w:t>Nelson Rodrigues dos Santos</w:t>
      </w:r>
    </w:p>
    <w:p w14:paraId="40EA1B82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lastRenderedPageBreak/>
        <w:t xml:space="preserve">Membro do Conselho Superior do </w:t>
      </w:r>
      <w:proofErr w:type="spellStart"/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>Idisa</w:t>
      </w:r>
      <w:proofErr w:type="spellEnd"/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 xml:space="preserve"> -- Instituto de Direito </w:t>
      </w:r>
      <w:proofErr w:type="spellStart"/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>Santiário</w:t>
      </w:r>
      <w:proofErr w:type="spellEnd"/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 xml:space="preserve"> Aplicado</w:t>
      </w:r>
    </w:p>
    <w:p w14:paraId="702E2D94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fldChar w:fldCharType="end"/>
      </w:r>
      <w:r w:rsidRPr="002838A7"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  <w:t>Acabo de receber 9e ler)</w:t>
      </w:r>
      <w:r w:rsidRPr="002838A7">
        <w:rPr>
          <w:rFonts w:ascii="Bookman Old Style" w:eastAsia="Times New Roman" w:hAnsi="Bookman Old Style" w:cs="Helvetica"/>
          <w:i/>
          <w:iCs/>
          <w:color w:val="585858"/>
          <w:sz w:val="24"/>
          <w:szCs w:val="24"/>
          <w:lang w:eastAsia="pt-BR"/>
        </w:rPr>
        <w:t xml:space="preserve"> </w:t>
      </w:r>
    </w:p>
    <w:p w14:paraId="3697816D" w14:textId="77777777" w:rsidR="001F4829" w:rsidRPr="002838A7" w:rsidRDefault="001F4829" w:rsidP="001F4829">
      <w:pPr>
        <w:spacing w:before="100" w:beforeAutospacing="1" w:after="100" w:afterAutospacing="1" w:line="240" w:lineRule="auto"/>
        <w:rPr>
          <w:rFonts w:ascii="Bookman Old Style" w:eastAsia="Times New Roman" w:hAnsi="Bookman Old Style" w:cs="Helvetica"/>
          <w:color w:val="585858"/>
          <w:sz w:val="24"/>
          <w:szCs w:val="24"/>
          <w:lang w:eastAsia="pt-BR"/>
        </w:rPr>
      </w:pPr>
    </w:p>
    <w:p w14:paraId="4583BFAC" w14:textId="77777777" w:rsidR="00D54234" w:rsidRDefault="00D54234"/>
    <w:sectPr w:rsidR="00D542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829"/>
    <w:rsid w:val="001F4829"/>
    <w:rsid w:val="00725910"/>
    <w:rsid w:val="00D5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16FA5"/>
  <w15:chartTrackingRefBased/>
  <w15:docId w15:val="{7DBC10CD-3EC9-4889-880E-64549115E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482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terraehredonda@gmail.com" TargetMode="External"/><Relationship Id="rId4" Type="http://schemas.openxmlformats.org/officeDocument/2006/relationships/hyperlink" Target="https://outraspalavras.net/author/nelsonrodriguesdossantos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5954</Words>
  <Characters>32155</Characters>
  <Application>Microsoft Office Word</Application>
  <DocSecurity>0</DocSecurity>
  <Lines>267</Lines>
  <Paragraphs>76</Paragraphs>
  <ScaleCrop>false</ScaleCrop>
  <Company/>
  <LinksUpToDate>false</LinksUpToDate>
  <CharactersWithSpaces>38033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FLAVIO</dc:creator>
  <cp:keywords/>
  <dc:description/>
  <cp:lastModifiedBy>FLAVIO</cp:lastModifiedBy>
  <cp:revision>1</cp:revision>
  <dcterms:created xsi:type="dcterms:W3CDTF">2021-11-20T12:49:00Z</dcterms:created>
  <dcterms:modified xsi:type="dcterms:W3CDTF">2021-11-20T12:49:00Z</dcterms:modified>
</cp:coreProperties>
</file>