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E0037" w14:textId="4BB96E85" w:rsidR="00487C6F" w:rsidRPr="005B55C5" w:rsidRDefault="00487C6F" w:rsidP="00487C6F">
      <w:pPr>
        <w:spacing w:before="100" w:beforeAutospacing="1" w:after="100" w:afterAutospacing="1" w:line="240" w:lineRule="auto"/>
        <w:jc w:val="both"/>
        <w:rPr>
          <w:rFonts w:ascii="Bookman Old Style" w:hAnsi="Bookman Old Style" w:cstheme="minorHAnsi"/>
          <w:b/>
        </w:rPr>
      </w:pPr>
      <w:r w:rsidRPr="005B55C5">
        <w:rPr>
          <w:rFonts w:ascii="Bookman Old Style" w:hAnsi="Bookman Old Style" w:cstheme="minorHAnsi"/>
          <w:b/>
        </w:rPr>
        <w:t>Participação Social</w:t>
      </w:r>
      <w:r w:rsidR="008809DB">
        <w:rPr>
          <w:rFonts w:ascii="Bookman Old Style" w:hAnsi="Bookman Old Style" w:cstheme="minorHAnsi"/>
          <w:b/>
        </w:rPr>
        <w:t>:</w:t>
      </w:r>
      <w:r w:rsidRPr="005B55C5">
        <w:rPr>
          <w:rFonts w:ascii="Bookman Old Style" w:hAnsi="Bookman Old Style" w:cstheme="minorHAnsi"/>
          <w:b/>
        </w:rPr>
        <w:t xml:space="preserve"> o que experiências internacionais podem nos ensinar</w:t>
      </w:r>
      <w:r>
        <w:rPr>
          <w:rFonts w:ascii="Bookman Old Style" w:hAnsi="Bookman Old Style" w:cstheme="minorHAnsi"/>
          <w:b/>
        </w:rPr>
        <w:t xml:space="preserve"> </w:t>
      </w:r>
    </w:p>
    <w:p w14:paraId="07AB3B57" w14:textId="25767028" w:rsidR="00487C6F" w:rsidRPr="005B55C5" w:rsidRDefault="00487C6F" w:rsidP="00487C6F">
      <w:pPr>
        <w:spacing w:before="100" w:beforeAutospacing="1" w:after="100" w:afterAutospacing="1" w:line="240" w:lineRule="auto"/>
        <w:jc w:val="both"/>
        <w:rPr>
          <w:rFonts w:ascii="Bookman Old Style" w:hAnsi="Bookman Old Style" w:cstheme="minorHAnsi"/>
        </w:rPr>
      </w:pPr>
      <w:r w:rsidRPr="005B55C5">
        <w:rPr>
          <w:rFonts w:ascii="Bookman Old Style" w:hAnsi="Bookman Old Style" w:cstheme="minorHAnsi"/>
        </w:rPr>
        <w:t xml:space="preserve">Há alguns anos atrás coordenei pela OPAS, um seminário internacional de experiências de participação social, com presenças de pesquisadores e outros atores da Itália, Portugal, Espanha e França. Pude perceber na ocasião algumas diferenças entre os conceitos e a operacionalidade das práticas de participação social entre o Brasil e estes países. </w:t>
      </w:r>
    </w:p>
    <w:p w14:paraId="4F1027A9" w14:textId="77777777" w:rsidR="00487C6F" w:rsidRPr="005B55C5" w:rsidRDefault="00487C6F" w:rsidP="00487C6F">
      <w:pPr>
        <w:spacing w:before="100" w:beforeAutospacing="1" w:after="100" w:afterAutospacing="1" w:line="240" w:lineRule="auto"/>
        <w:jc w:val="both"/>
        <w:rPr>
          <w:rFonts w:ascii="Bookman Old Style" w:hAnsi="Bookman Old Style" w:cstheme="minorHAnsi"/>
        </w:rPr>
      </w:pPr>
      <w:r w:rsidRPr="005B55C5">
        <w:rPr>
          <w:rFonts w:ascii="Bookman Old Style" w:hAnsi="Bookman Old Style" w:cstheme="minorHAnsi"/>
        </w:rPr>
        <w:t>O que cham</w:t>
      </w:r>
      <w:r>
        <w:rPr>
          <w:rFonts w:ascii="Bookman Old Style" w:hAnsi="Bookman Old Style" w:cstheme="minorHAnsi"/>
        </w:rPr>
        <w:t>ou</w:t>
      </w:r>
      <w:r w:rsidRPr="005B55C5">
        <w:rPr>
          <w:rFonts w:ascii="Bookman Old Style" w:hAnsi="Bookman Old Style" w:cstheme="minorHAnsi"/>
        </w:rPr>
        <w:t xml:space="preserve"> mais a atenção (a minha, pelo menos) é a relativa minimização do formalismo em relação à concepção brasileira, exposta na lei 8.142. Com efeito, nada de paridade, de </w:t>
      </w:r>
      <w:r w:rsidRPr="005B55C5">
        <w:rPr>
          <w:rFonts w:ascii="Bookman Old Style" w:hAnsi="Bookman Old Style" w:cstheme="minorHAnsi"/>
          <w:i/>
        </w:rPr>
        <w:t>poder deliberativo</w:t>
      </w:r>
      <w:r w:rsidRPr="005B55C5">
        <w:rPr>
          <w:rFonts w:ascii="Bookman Old Style" w:hAnsi="Bookman Old Style" w:cstheme="minorHAnsi"/>
        </w:rPr>
        <w:t xml:space="preserve"> ou mesmo representação muito institucionalizada. Lá, além (ou talvez, à frente) do figurante que representa uma organização, abre-se espaço e se valoriza o </w:t>
      </w:r>
      <w:r w:rsidRPr="005B55C5">
        <w:rPr>
          <w:rFonts w:ascii="Bookman Old Style" w:hAnsi="Bookman Old Style" w:cstheme="minorHAnsi"/>
          <w:i/>
        </w:rPr>
        <w:t>interessado</w:t>
      </w:r>
      <w:r w:rsidRPr="005B55C5">
        <w:rPr>
          <w:rFonts w:ascii="Bookman Old Style" w:hAnsi="Bookman Old Style" w:cstheme="minorHAnsi"/>
        </w:rPr>
        <w:t>, seja ele em grupo ou individual, que se antepõe ao representante corporativo brasileiro.</w:t>
      </w:r>
    </w:p>
    <w:p w14:paraId="39CE5AEF" w14:textId="77777777" w:rsidR="00487C6F" w:rsidRPr="005B55C5" w:rsidRDefault="00487C6F" w:rsidP="00487C6F">
      <w:pPr>
        <w:spacing w:before="100" w:beforeAutospacing="1" w:after="100" w:afterAutospacing="1" w:line="240" w:lineRule="auto"/>
        <w:jc w:val="both"/>
        <w:rPr>
          <w:rFonts w:ascii="Bookman Old Style" w:hAnsi="Bookman Old Style" w:cstheme="minorHAnsi"/>
        </w:rPr>
      </w:pPr>
      <w:r w:rsidRPr="005B55C5">
        <w:rPr>
          <w:rFonts w:ascii="Bookman Old Style" w:hAnsi="Bookman Old Style" w:cstheme="minorHAnsi"/>
        </w:rPr>
        <w:t>Destaque-se também – e nem, poderia ser diferente – a utilização ampla das tecnologias da informação, assunto que sem dúvida dominamos por aqui (veja-se o caso do processo eleitoral, do Programa Bolsa Família e das operações bancárias), mas que se mantém distante dos fóruns de participação.</w:t>
      </w:r>
    </w:p>
    <w:p w14:paraId="3C8342D0" w14:textId="77777777" w:rsidR="00487C6F" w:rsidRPr="005B55C5" w:rsidRDefault="00487C6F" w:rsidP="00487C6F">
      <w:pPr>
        <w:spacing w:before="100" w:beforeAutospacing="1" w:after="100" w:afterAutospacing="1" w:line="240" w:lineRule="auto"/>
        <w:jc w:val="both"/>
        <w:rPr>
          <w:rFonts w:ascii="Bookman Old Style" w:hAnsi="Bookman Old Style" w:cstheme="minorHAnsi"/>
        </w:rPr>
      </w:pPr>
      <w:r w:rsidRPr="005B55C5">
        <w:rPr>
          <w:rFonts w:ascii="Bookman Old Style" w:hAnsi="Bookman Old Style" w:cstheme="minorHAnsi"/>
        </w:rPr>
        <w:t>Lá também, longe do caráter formal e regulamentar dos conselhos e conferências, com suas esdrúxulas figuras de paridade, predomina um caráter focal e transitório relativo a cada evento participativo, nos quais não há vinculação permanente ou formal dos participantes, sem que isso signifique, aparentemente, qualquer perda de continuidade e sustentabilidade ao longo do tempo. Assim o que se vê em terras de Espanha e Itália é a fluidez das regras para a participação social, em termos de número, vinculação ou disposições numéricas a respeito da representação de governo e cidadãos.</w:t>
      </w:r>
    </w:p>
    <w:p w14:paraId="12A7040D" w14:textId="77777777" w:rsidR="00487C6F" w:rsidRPr="005B55C5" w:rsidRDefault="00487C6F" w:rsidP="00487C6F">
      <w:pPr>
        <w:spacing w:before="100" w:beforeAutospacing="1" w:after="100" w:afterAutospacing="1" w:line="240" w:lineRule="auto"/>
        <w:jc w:val="both"/>
        <w:rPr>
          <w:rFonts w:ascii="Bookman Old Style" w:hAnsi="Bookman Old Style" w:cstheme="minorHAnsi"/>
        </w:rPr>
      </w:pPr>
      <w:r w:rsidRPr="005B55C5">
        <w:rPr>
          <w:rFonts w:ascii="Bookman Old Style" w:hAnsi="Bookman Old Style" w:cstheme="minorHAnsi"/>
        </w:rPr>
        <w:t xml:space="preserve">A experiência madrilenha coloca em destaque algo que deve ser típico das democracias maduras, ou seja, a ocupação efetiva de espaços na máquina pública pelos representantes das propostas de mudança, com a contrapartida de ações governamentais sintonizadas e respectivas, sem grandes sinais de cooptação ou partidarização, mediante caminhos trilhados fora da política tradicional. Assim, o dilema despertado aqui no Brasil pela lei 8.142, a respeito do tal </w:t>
      </w:r>
      <w:r w:rsidRPr="005B55C5">
        <w:rPr>
          <w:rFonts w:ascii="Bookman Old Style" w:hAnsi="Bookman Old Style" w:cstheme="minorHAnsi"/>
          <w:i/>
        </w:rPr>
        <w:t>poder deliberativo</w:t>
      </w:r>
      <w:r w:rsidRPr="005B55C5">
        <w:rPr>
          <w:rFonts w:ascii="Bookman Old Style" w:hAnsi="Bookman Old Style" w:cstheme="minorHAnsi"/>
        </w:rPr>
        <w:t xml:space="preserve"> dos conselhos e conferências, tem sua contrapartida em um foco múltiplo de atuações, ao mesmo tempo consultivo, deliberativo e prospectivo, de forma harmônica com cada momento institucional e político. </w:t>
      </w:r>
    </w:p>
    <w:p w14:paraId="2C531C13" w14:textId="77777777" w:rsidR="00487C6F" w:rsidRPr="005B55C5" w:rsidRDefault="00487C6F" w:rsidP="00487C6F">
      <w:pPr>
        <w:spacing w:before="100" w:beforeAutospacing="1" w:after="100" w:afterAutospacing="1" w:line="240" w:lineRule="auto"/>
        <w:jc w:val="both"/>
        <w:rPr>
          <w:rFonts w:ascii="Bookman Old Style" w:hAnsi="Bookman Old Style" w:cstheme="minorHAnsi"/>
        </w:rPr>
      </w:pPr>
      <w:r w:rsidRPr="005B55C5">
        <w:rPr>
          <w:rFonts w:ascii="Bookman Old Style" w:hAnsi="Bookman Old Style" w:cstheme="minorHAnsi"/>
        </w:rPr>
        <w:t xml:space="preserve">As experiências europeias deixam transparecer ainda algumas “regras de negócio”, nas quais vale a pena prestar atenção. Algumas delas: diversidade e pluralidade como pressupostos da participação; ênfase no planejamento conjunto de ações; </w:t>
      </w:r>
      <w:r w:rsidRPr="005B55C5">
        <w:rPr>
          <w:rFonts w:ascii="Bookman Old Style" w:hAnsi="Bookman Old Style" w:cstheme="minorHAnsi"/>
          <w:i/>
        </w:rPr>
        <w:t xml:space="preserve">participação informada; </w:t>
      </w:r>
      <w:r w:rsidRPr="005B55C5">
        <w:rPr>
          <w:rFonts w:ascii="Bookman Old Style" w:hAnsi="Bookman Old Style" w:cstheme="minorHAnsi"/>
        </w:rPr>
        <w:t>empoderamento e qualificação dos participantes; movimentos de criação a partir da base e da periferia; caráter múltiplo de ação: políticas públicas em geral e não apenas saúde.</w:t>
      </w:r>
    </w:p>
    <w:p w14:paraId="0B68C4F8" w14:textId="77777777" w:rsidR="00487C6F" w:rsidRPr="005B55C5" w:rsidRDefault="00487C6F" w:rsidP="00487C6F">
      <w:pPr>
        <w:spacing w:before="100" w:beforeAutospacing="1" w:after="100" w:afterAutospacing="1" w:line="240" w:lineRule="auto"/>
        <w:jc w:val="both"/>
        <w:rPr>
          <w:rFonts w:ascii="Bookman Old Style" w:hAnsi="Bookman Old Style" w:cstheme="minorHAnsi"/>
        </w:rPr>
      </w:pPr>
      <w:r w:rsidRPr="005B55C5">
        <w:rPr>
          <w:rFonts w:ascii="Bookman Old Style" w:hAnsi="Bookman Old Style" w:cstheme="minorHAnsi"/>
        </w:rPr>
        <w:t xml:space="preserve">O caráter assumido em Madrid, que traz o rótulo de </w:t>
      </w:r>
      <w:r w:rsidRPr="005B55C5">
        <w:rPr>
          <w:rFonts w:ascii="Bookman Old Style" w:hAnsi="Bookman Old Style" w:cstheme="minorHAnsi"/>
          <w:i/>
        </w:rPr>
        <w:t>laboratório</w:t>
      </w:r>
      <w:r w:rsidRPr="005B55C5">
        <w:rPr>
          <w:rFonts w:ascii="Bookman Old Style" w:hAnsi="Bookman Old Style" w:cstheme="minorHAnsi"/>
        </w:rPr>
        <w:t xml:space="preserve">, pressupõe a aceitação da experimentação, com seus possíveis erros e acertos, sintonizada com uma visão de processo, na qual o direito </w:t>
      </w:r>
      <w:proofErr w:type="gramStart"/>
      <w:r w:rsidRPr="005B55C5">
        <w:rPr>
          <w:rFonts w:ascii="Bookman Old Style" w:hAnsi="Bookman Old Style" w:cstheme="minorHAnsi"/>
        </w:rPr>
        <w:t>do</w:t>
      </w:r>
      <w:proofErr w:type="gramEnd"/>
      <w:r w:rsidRPr="005B55C5">
        <w:rPr>
          <w:rFonts w:ascii="Bookman Old Style" w:hAnsi="Bookman Old Style" w:cstheme="minorHAnsi"/>
        </w:rPr>
        <w:t xml:space="preserve"> cidadão expressar sua opinião é mais relevante do que aportar as “certezas” das eventuais organizações formais que representam. Corolário disso é a realização de ações em redes abertas, flexíveis, plurais, nas quais os meios são valorizados tanto quanto fins.</w:t>
      </w:r>
    </w:p>
    <w:p w14:paraId="4D591D2F" w14:textId="77777777" w:rsidR="00487C6F" w:rsidRPr="005B55C5" w:rsidRDefault="00487C6F" w:rsidP="00487C6F">
      <w:pPr>
        <w:spacing w:before="100" w:beforeAutospacing="1" w:after="100" w:afterAutospacing="1" w:line="240" w:lineRule="auto"/>
        <w:jc w:val="both"/>
        <w:rPr>
          <w:rFonts w:ascii="Bookman Old Style" w:hAnsi="Bookman Old Style" w:cstheme="minorHAnsi"/>
        </w:rPr>
      </w:pPr>
      <w:r w:rsidRPr="005B55C5">
        <w:rPr>
          <w:rFonts w:ascii="Bookman Old Style" w:hAnsi="Bookman Old Style" w:cstheme="minorHAnsi"/>
        </w:rPr>
        <w:lastRenderedPageBreak/>
        <w:t>Outra característica dessas experiências estrangeiras é o fato de terem o processo colaborativo em posição central, longe de qualquer anteposição e quantificação de “quotas” entre governo, prestadores, servidores e usuários, como previsto na lei brasileira e regulamentado radicalmente pelas resoluções do Conselho Nacional de Saúde. Assim se almeja a formação de “pontes” ou a diluição das fronteiras entre cidadãos e governo, ao contrário do caráter mais competitivo da participação nacional, na qual os atores mais se contrapõem do que colaboram entre si. O compartilhamento, seja de informações ou poder, tem posição destacada nessas experiências. Da mesma forma, registra-se forte apelo à formação de consensos na resolução de conflitos. Decorrência provável disso é o grau de cosmopolitismo e intercâmbio de informação que tais propostas evidenciam, sendo considerado um aspecto muito positivo das mesmas.</w:t>
      </w:r>
    </w:p>
    <w:p w14:paraId="6EC16BAA" w14:textId="77777777" w:rsidR="00487C6F" w:rsidRDefault="00487C6F" w:rsidP="00487C6F">
      <w:pPr>
        <w:spacing w:before="100" w:beforeAutospacing="1" w:after="100" w:afterAutospacing="1" w:line="240" w:lineRule="auto"/>
        <w:jc w:val="both"/>
        <w:rPr>
          <w:rFonts w:ascii="Bookman Old Style" w:hAnsi="Bookman Old Style" w:cstheme="minorHAnsi"/>
        </w:rPr>
      </w:pPr>
      <w:r w:rsidRPr="005B55C5">
        <w:rPr>
          <w:rFonts w:ascii="Bookman Old Style" w:hAnsi="Bookman Old Style" w:cstheme="minorHAnsi"/>
        </w:rPr>
        <w:t>Destaque-se, ainda, os papéis bem definidos e de certa forma profissionalizados atribuídos aos mediadores e facilitadores dos encontros participativos, bem como dos especialistas honrosamente convidados, superando as tarefas de uma mera “secretaria técnica” burocrática, como se vê debaixo do apanágio da lei 8.142 no Brasil.</w:t>
      </w:r>
    </w:p>
    <w:p w14:paraId="30776F9F" w14:textId="77777777" w:rsidR="00D54234" w:rsidRDefault="00D54234"/>
    <w:sectPr w:rsidR="00D54234" w:rsidSect="00725910">
      <w:pgSz w:w="11906" w:h="16838" w:code="9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proofState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C6F"/>
    <w:rsid w:val="00487C6F"/>
    <w:rsid w:val="00725910"/>
    <w:rsid w:val="008809DB"/>
    <w:rsid w:val="00D5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1BE3E"/>
  <w15:chartTrackingRefBased/>
  <w15:docId w15:val="{D8D65148-AB83-4E3A-8F4E-79180EC58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7C6F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714</Words>
  <Characters>3856</Characters>
  <Application>Microsoft Office Word</Application>
  <DocSecurity>0</DocSecurity>
  <Lines>32</Lines>
  <Paragraphs>9</Paragraphs>
  <ScaleCrop>false</ScaleCrop>
  <Company/>
  <LinksUpToDate>false</LinksUpToDate>
  <CharactersWithSpaces>4561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FLAVIO</dc:creator>
  <cp:keywords/>
  <dc:description/>
  <cp:lastModifiedBy>FLAVIO</cp:lastModifiedBy>
  <cp:revision>2</cp:revision>
  <dcterms:created xsi:type="dcterms:W3CDTF">2023-04-05T19:34:00Z</dcterms:created>
  <dcterms:modified xsi:type="dcterms:W3CDTF">2023-04-05T19:41:00Z</dcterms:modified>
</cp:coreProperties>
</file>