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55CA" w:rsidRPr="00D455CA" w:rsidRDefault="00D455CA" w:rsidP="00D455CA">
      <w:pPr>
        <w:autoSpaceDE w:val="0"/>
        <w:autoSpaceDN w:val="0"/>
        <w:adjustRightInd w:val="0"/>
        <w:spacing w:before="100" w:beforeAutospacing="1" w:after="100" w:afterAutospacing="1" w:line="240" w:lineRule="auto"/>
        <w:jc w:val="both"/>
        <w:rPr>
          <w:rFonts w:ascii="Bookman Old Style" w:hAnsi="Bookman Old Style" w:cstheme="minorHAnsi"/>
          <w:b/>
          <w:bCs/>
          <w:sz w:val="32"/>
          <w:szCs w:val="32"/>
        </w:rPr>
      </w:pPr>
      <w:bookmarkStart w:id="0" w:name="_GoBack"/>
      <w:bookmarkEnd w:id="0"/>
      <w:r w:rsidRPr="00D455CA">
        <w:rPr>
          <w:rFonts w:ascii="Bookman Old Style" w:hAnsi="Bookman Old Style" w:cstheme="minorHAnsi"/>
          <w:b/>
          <w:bCs/>
          <w:sz w:val="32"/>
          <w:szCs w:val="32"/>
        </w:rPr>
        <w:t xml:space="preserve">Participação Social </w:t>
      </w:r>
      <w:r>
        <w:rPr>
          <w:rFonts w:ascii="Bookman Old Style" w:hAnsi="Bookman Old Style" w:cstheme="minorHAnsi"/>
          <w:b/>
          <w:bCs/>
          <w:sz w:val="32"/>
          <w:szCs w:val="32"/>
        </w:rPr>
        <w:t>Local em Saúde</w:t>
      </w:r>
      <w:r w:rsidRPr="00D455CA">
        <w:rPr>
          <w:rFonts w:ascii="Bookman Old Style" w:hAnsi="Bookman Old Style" w:cstheme="minorHAnsi"/>
          <w:b/>
          <w:bCs/>
          <w:sz w:val="32"/>
          <w:szCs w:val="32"/>
        </w:rPr>
        <w:t xml:space="preserve">: </w:t>
      </w:r>
      <w:r>
        <w:rPr>
          <w:rFonts w:ascii="Bookman Old Style" w:hAnsi="Bookman Old Style" w:cstheme="minorHAnsi"/>
          <w:b/>
          <w:bCs/>
          <w:sz w:val="32"/>
          <w:szCs w:val="32"/>
        </w:rPr>
        <w:t>como fazer avançar</w:t>
      </w:r>
    </w:p>
    <w:p w:rsidR="00D455CA" w:rsidRPr="005E0FA1" w:rsidRDefault="00D455CA" w:rsidP="00D455CA">
      <w:pPr>
        <w:autoSpaceDE w:val="0"/>
        <w:autoSpaceDN w:val="0"/>
        <w:adjustRightInd w:val="0"/>
        <w:spacing w:after="0" w:line="240" w:lineRule="auto"/>
        <w:jc w:val="right"/>
        <w:rPr>
          <w:rFonts w:ascii="Bookman Old Style" w:hAnsi="Bookman Old Style" w:cstheme="minorHAnsi"/>
          <w:b/>
          <w:bCs/>
        </w:rPr>
      </w:pPr>
      <w:r w:rsidRPr="005E0FA1">
        <w:rPr>
          <w:rFonts w:ascii="Bookman Old Style" w:hAnsi="Bookman Old Style" w:cstheme="minorHAnsi"/>
          <w:b/>
          <w:bCs/>
        </w:rPr>
        <w:t>Flavio Goulart</w:t>
      </w:r>
      <w:r>
        <w:rPr>
          <w:rStyle w:val="Refdenotaderodap"/>
          <w:rFonts w:ascii="Bookman Old Style" w:hAnsi="Bookman Old Style" w:cstheme="minorHAnsi"/>
          <w:b/>
          <w:bCs/>
        </w:rPr>
        <w:footnoteReference w:id="1"/>
      </w:r>
    </w:p>
    <w:p w:rsidR="00D455CA" w:rsidRPr="005E0FA1" w:rsidRDefault="00D455CA" w:rsidP="00D455CA">
      <w:pPr>
        <w:autoSpaceDE w:val="0"/>
        <w:autoSpaceDN w:val="0"/>
        <w:adjustRightInd w:val="0"/>
        <w:spacing w:after="0" w:line="240" w:lineRule="auto"/>
        <w:jc w:val="right"/>
        <w:rPr>
          <w:rFonts w:ascii="Bookman Old Style" w:hAnsi="Bookman Old Style" w:cstheme="minorHAnsi"/>
          <w:b/>
          <w:bCs/>
        </w:rPr>
      </w:pPr>
      <w:r w:rsidRPr="005E0FA1">
        <w:rPr>
          <w:rFonts w:ascii="Bookman Old Style" w:hAnsi="Bookman Old Style" w:cstheme="minorHAnsi"/>
          <w:b/>
          <w:bCs/>
        </w:rPr>
        <w:t>Maria Henriqueta Camarotti</w:t>
      </w:r>
      <w:r>
        <w:rPr>
          <w:rStyle w:val="Refdenotaderodap"/>
          <w:rFonts w:ascii="Bookman Old Style" w:hAnsi="Bookman Old Style" w:cstheme="minorHAnsi"/>
          <w:b/>
          <w:bCs/>
        </w:rPr>
        <w:footnoteReference w:id="2"/>
      </w:r>
    </w:p>
    <w:p w:rsidR="00D455CA" w:rsidRPr="00D455CA" w:rsidRDefault="00D455CA" w:rsidP="00D455CA">
      <w:pPr>
        <w:autoSpaceDE w:val="0"/>
        <w:autoSpaceDN w:val="0"/>
        <w:adjustRightInd w:val="0"/>
        <w:spacing w:before="100" w:beforeAutospacing="1" w:after="100" w:afterAutospacing="1" w:line="240" w:lineRule="auto"/>
        <w:jc w:val="both"/>
        <w:rPr>
          <w:rFonts w:ascii="Bookman Old Style" w:hAnsi="Bookman Old Style" w:cstheme="minorHAnsi"/>
          <w:b/>
          <w:bCs/>
          <w:sz w:val="24"/>
          <w:szCs w:val="24"/>
        </w:rPr>
      </w:pPr>
    </w:p>
    <w:p w:rsidR="00D455CA" w:rsidRPr="00D455CA" w:rsidRDefault="00D455CA" w:rsidP="00D455CA">
      <w:pPr>
        <w:autoSpaceDE w:val="0"/>
        <w:autoSpaceDN w:val="0"/>
        <w:adjustRightInd w:val="0"/>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O processo de participação social em saúde no Brasil é uma construção inacabada e ainda um tanto frágil, particularmente em relação à sua aplicação no nível local dos serviços. Sendo assim, o arejamento e a ampliação das discussões sobre a mesma constituem tarefas essenciais para aqueles que se dedicam a buscar soluções para a construção e o aperfeiçoamento de nosso sistema saúde, sem deixar de reconhecer que o país tem história acumulada nesta área.</w:t>
      </w:r>
    </w:p>
    <w:p w:rsidR="00D455CA" w:rsidRPr="00D455CA" w:rsidRDefault="00D455CA" w:rsidP="00D455CA">
      <w:pPr>
        <w:autoSpaceDE w:val="0"/>
        <w:autoSpaceDN w:val="0"/>
        <w:adjustRightInd w:val="0"/>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Além disso, o momento atual do SUS traz grandes preocupações quanto a seu futuro, construção inacabada que ele ainda é, diante das posturas de um governo avesso ao bem-estar social e à democratização. Sua estrutura jurídica, além do mais, foi concebida décadas atrás, com marcantes diferenças epidemiológicas, demográficas, culturais, tecnológicas e políticas em relação aos tempos atuais.</w:t>
      </w:r>
    </w:p>
    <w:p w:rsidR="00D455CA" w:rsidRPr="00D455CA" w:rsidRDefault="00D455CA" w:rsidP="00D455CA">
      <w:pPr>
        <w:autoSpaceDE w:val="0"/>
        <w:autoSpaceDN w:val="0"/>
        <w:adjustRightInd w:val="0"/>
        <w:spacing w:before="100" w:beforeAutospacing="1" w:after="100" w:afterAutospacing="1" w:line="240" w:lineRule="auto"/>
        <w:jc w:val="both"/>
        <w:rPr>
          <w:rFonts w:ascii="Bookman Old Style" w:hAnsi="Bookman Old Style" w:cstheme="minorHAnsi"/>
          <w:color w:val="FF0000"/>
          <w:sz w:val="24"/>
          <w:szCs w:val="24"/>
        </w:rPr>
      </w:pPr>
      <w:r w:rsidRPr="00D455CA">
        <w:rPr>
          <w:rFonts w:ascii="Bookman Old Style" w:hAnsi="Bookman Old Style" w:cstheme="minorHAnsi"/>
          <w:sz w:val="24"/>
          <w:szCs w:val="24"/>
        </w:rPr>
        <w:t>Assim, a participação social na área da saúde, da forma como explicitada na Lei 8142/90, tem especificidades marcantes, supostamente democratizadoras – em que pesem algumas controvérsias – e que denotariam o avanço da saúde em relação a outras áreas de governo. Mas, se há avanços, há também dilemas não resolvidos, que redundam na promoção de falsas expectativas nos participantes, relativas a um suposto poder efetivo e autônomo de decidir sobre a política de saúde, que não pertence só a eles, mas a uma cadeia mais ampla que associa órgãos do Executivo, do Legislativo e do Judiciário, sendo, portanto, um processo multidimensional tanto na sua essência como na sua prática.</w:t>
      </w:r>
    </w:p>
    <w:p w:rsidR="00D455CA" w:rsidRPr="00D455CA" w:rsidRDefault="00D455CA" w:rsidP="00D455CA">
      <w:pPr>
        <w:autoSpaceDE w:val="0"/>
        <w:autoSpaceDN w:val="0"/>
        <w:adjustRightInd w:val="0"/>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Algumas tendências podem ser percebidas e questionadas no cenário atual da participação social, no Brasil, a saber: (a) a </w:t>
      </w:r>
      <w:r w:rsidRPr="00D455CA">
        <w:rPr>
          <w:rFonts w:ascii="Bookman Old Style" w:hAnsi="Bookman Old Style" w:cstheme="minorHAnsi"/>
          <w:i/>
          <w:iCs/>
          <w:sz w:val="24"/>
          <w:szCs w:val="24"/>
        </w:rPr>
        <w:t>autonomização</w:t>
      </w:r>
      <w:r w:rsidRPr="00D455CA">
        <w:rPr>
          <w:rFonts w:ascii="Bookman Old Style" w:hAnsi="Bookman Old Style" w:cstheme="minorHAnsi"/>
          <w:sz w:val="24"/>
          <w:szCs w:val="24"/>
        </w:rPr>
        <w:t xml:space="preserve">, levantando a expectativa social de que nos conselhos de saúde residiria, de fato e de direito, um quarto poder; (b) a </w:t>
      </w:r>
      <w:r w:rsidRPr="00D455CA">
        <w:rPr>
          <w:rFonts w:ascii="Bookman Old Style" w:hAnsi="Bookman Old Style" w:cstheme="minorHAnsi"/>
          <w:i/>
          <w:iCs/>
          <w:sz w:val="24"/>
          <w:szCs w:val="24"/>
        </w:rPr>
        <w:t>plenarização</w:t>
      </w:r>
      <w:r w:rsidRPr="00D455CA">
        <w:rPr>
          <w:rFonts w:ascii="Bookman Old Style" w:hAnsi="Bookman Old Style" w:cstheme="minorHAnsi"/>
          <w:sz w:val="24"/>
          <w:szCs w:val="24"/>
        </w:rPr>
        <w:t xml:space="preserve">, mediante a transformação de tais instâncias em meros fóruns de debates entre os diversos segmentos sociais, nem sempre com a participação do Estado, o qual, aliás, seja por definição legal ou afastamento voluntário, restou minoritário ou ausente no processo participativo real; (c) a </w:t>
      </w:r>
      <w:r w:rsidRPr="00D455CA">
        <w:rPr>
          <w:rFonts w:ascii="Bookman Old Style" w:hAnsi="Bookman Old Style" w:cstheme="minorHAnsi"/>
          <w:i/>
          <w:iCs/>
          <w:sz w:val="24"/>
          <w:szCs w:val="24"/>
        </w:rPr>
        <w:t>parlamentarização</w:t>
      </w:r>
      <w:r w:rsidRPr="00D455CA">
        <w:rPr>
          <w:rFonts w:ascii="Bookman Old Style" w:hAnsi="Bookman Old Style" w:cstheme="minorHAnsi"/>
          <w:sz w:val="24"/>
          <w:szCs w:val="24"/>
        </w:rPr>
        <w:t xml:space="preserve">, com formação de blocos ideológicos e partidários dentro dos conselhos e conferências, com as consequentes tomadas de decisão por votação, não por consenso. (d) a </w:t>
      </w:r>
      <w:r w:rsidRPr="00D455CA">
        <w:rPr>
          <w:rFonts w:ascii="Bookman Old Style" w:hAnsi="Bookman Old Style" w:cstheme="minorHAnsi"/>
          <w:i/>
          <w:iCs/>
          <w:sz w:val="24"/>
          <w:szCs w:val="24"/>
        </w:rPr>
        <w:t>profissionalização</w:t>
      </w:r>
      <w:r w:rsidRPr="00D455CA">
        <w:rPr>
          <w:rFonts w:ascii="Bookman Old Style" w:hAnsi="Bookman Old Style" w:cstheme="minorHAnsi"/>
          <w:sz w:val="24"/>
          <w:szCs w:val="24"/>
        </w:rPr>
        <w:t xml:space="preserve"> e a </w:t>
      </w:r>
      <w:r w:rsidRPr="00D455CA">
        <w:rPr>
          <w:rFonts w:ascii="Bookman Old Style" w:hAnsi="Bookman Old Style" w:cstheme="minorHAnsi"/>
          <w:i/>
          <w:iCs/>
          <w:sz w:val="24"/>
          <w:szCs w:val="24"/>
        </w:rPr>
        <w:t>institucionalização</w:t>
      </w:r>
      <w:r w:rsidRPr="00D455CA">
        <w:rPr>
          <w:rFonts w:ascii="Bookman Old Style" w:hAnsi="Bookman Old Style" w:cstheme="minorHAnsi"/>
          <w:sz w:val="24"/>
          <w:szCs w:val="24"/>
        </w:rPr>
        <w:t xml:space="preserve"> da função de participante, dadas as fortes exigências inerentes a tal processo, abrindo caminho para a constituição de verdadeiros profissionais da participação, afastando outros interessados portadores de demandas, mas não de representação institucional; (e) a</w:t>
      </w:r>
      <w:r w:rsidRPr="00D455CA">
        <w:rPr>
          <w:rFonts w:ascii="Bookman Old Style" w:hAnsi="Bookman Old Style" w:cstheme="minorHAnsi"/>
          <w:i/>
          <w:iCs/>
          <w:sz w:val="24"/>
          <w:szCs w:val="24"/>
        </w:rPr>
        <w:t xml:space="preserve"> auto-regulação</w:t>
      </w:r>
      <w:r w:rsidRPr="00D455CA">
        <w:rPr>
          <w:rFonts w:ascii="Bookman Old Style" w:hAnsi="Bookman Old Style" w:cstheme="minorHAnsi"/>
          <w:sz w:val="24"/>
          <w:szCs w:val="24"/>
        </w:rPr>
        <w:t>, que representa uma particularidade praticamente exclusiva da área da saúde, despertando algumas vezes questionamentos jurídicos reiterados.</w:t>
      </w:r>
    </w:p>
    <w:p w:rsidR="00D455CA" w:rsidRPr="00D455CA" w:rsidRDefault="00D455CA" w:rsidP="00D455CA">
      <w:pPr>
        <w:autoSpaceDE w:val="0"/>
        <w:autoSpaceDN w:val="0"/>
        <w:adjustRightInd w:val="0"/>
        <w:spacing w:before="100" w:beforeAutospacing="1" w:after="100" w:afterAutospacing="1" w:line="240" w:lineRule="auto"/>
        <w:jc w:val="both"/>
        <w:rPr>
          <w:rFonts w:ascii="Bookman Old Style" w:hAnsi="Bookman Old Style" w:cstheme="minorHAnsi"/>
          <w:color w:val="FF0000"/>
          <w:sz w:val="24"/>
          <w:szCs w:val="24"/>
        </w:rPr>
      </w:pPr>
      <w:r w:rsidRPr="00D455CA">
        <w:rPr>
          <w:rFonts w:ascii="Bookman Old Style" w:hAnsi="Bookman Old Style" w:cstheme="minorHAnsi"/>
          <w:sz w:val="24"/>
          <w:szCs w:val="24"/>
        </w:rPr>
        <w:t xml:space="preserve">Associe-se a tais fatores o gap de desenvolvimento que se observa entre a participação burocrático-legal, nos termos da lei 8.142, com seus conselhos e conferências municipais, </w:t>
      </w:r>
      <w:r w:rsidRPr="00D455CA">
        <w:rPr>
          <w:rFonts w:ascii="Bookman Old Style" w:hAnsi="Bookman Old Style" w:cstheme="minorHAnsi"/>
          <w:sz w:val="24"/>
          <w:szCs w:val="24"/>
        </w:rPr>
        <w:lastRenderedPageBreak/>
        <w:t xml:space="preserve">estaduais ou nacional, versus a prática relativamente escassa e débil, inclusive em termos conceituais, de alternativas de participação local.  </w:t>
      </w:r>
    </w:p>
    <w:p w:rsidR="00D455CA" w:rsidRPr="00D455CA" w:rsidRDefault="00D455CA" w:rsidP="00D455CA">
      <w:pPr>
        <w:autoSpaceDE w:val="0"/>
        <w:autoSpaceDN w:val="0"/>
        <w:adjustRightInd w:val="0"/>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Assim, por exemplo, quando se fala em autonomia, paridade e poder deliberativo, dispositivos compulsórios nos regramentos legais ou burocráticos dos conselhos, percebe-se uma marcante distância entre intenções (desejantes) e práticas (concretas) dos instrumentos vigentes, o que sem dúvida prejudica a efetiva participação. Sem falar de sua real aplicabilidade ao nível local dos serviços.</w:t>
      </w:r>
    </w:p>
    <w:p w:rsidR="00D455CA" w:rsidRPr="00D455CA" w:rsidRDefault="00D455CA" w:rsidP="00D455CA">
      <w:pPr>
        <w:autoSpaceDE w:val="0"/>
        <w:autoSpaceDN w:val="0"/>
        <w:adjustRightInd w:val="0"/>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Sem dúvida caberia aos conselhos, de acordo com as leis e suas regras internas, </w:t>
      </w:r>
      <w:r w:rsidRPr="00D455CA">
        <w:rPr>
          <w:rFonts w:ascii="Bookman Old Style" w:hAnsi="Bookman Old Style" w:cstheme="minorHAnsi"/>
          <w:i/>
          <w:iCs/>
          <w:sz w:val="24"/>
          <w:szCs w:val="24"/>
        </w:rPr>
        <w:t>formular, mobilizar, fiscalizar, autorregular-se, discutir, opinar, propor uma visão estratégica</w:t>
      </w:r>
      <w:r w:rsidRPr="00D455CA">
        <w:rPr>
          <w:rFonts w:ascii="Bookman Old Style" w:hAnsi="Bookman Old Style" w:cstheme="minorHAnsi"/>
          <w:sz w:val="24"/>
          <w:szCs w:val="24"/>
        </w:rPr>
        <w:t xml:space="preserve">, o que nem sempre é ponto pacífico entre as interpretações ideológicas e jurídicas. Entretanto, seria possível acreditar em ações políticas alternativas, em ambientes que contenham menos competição partidária, ideológica e conspiratória, em troca da construção solidária do bem comum, a partir de uma base real de </w:t>
      </w:r>
      <w:r w:rsidRPr="00D455CA">
        <w:rPr>
          <w:rFonts w:ascii="Bookman Old Style" w:hAnsi="Bookman Old Style" w:cstheme="minorHAnsi"/>
          <w:i/>
          <w:iCs/>
          <w:sz w:val="24"/>
          <w:szCs w:val="24"/>
        </w:rPr>
        <w:t>necessidades</w:t>
      </w:r>
      <w:r w:rsidRPr="00D455CA">
        <w:rPr>
          <w:rFonts w:ascii="Bookman Old Style" w:hAnsi="Bookman Old Style" w:cstheme="minorHAnsi"/>
          <w:sz w:val="24"/>
          <w:szCs w:val="24"/>
        </w:rPr>
        <w:t xml:space="preserve"> e </w:t>
      </w:r>
      <w:r w:rsidRPr="00D455CA">
        <w:rPr>
          <w:rFonts w:ascii="Bookman Old Style" w:hAnsi="Bookman Old Style" w:cstheme="minorHAnsi"/>
          <w:i/>
          <w:iCs/>
          <w:sz w:val="24"/>
          <w:szCs w:val="24"/>
        </w:rPr>
        <w:t>interesses</w:t>
      </w:r>
      <w:r w:rsidRPr="00D455CA">
        <w:rPr>
          <w:rFonts w:ascii="Bookman Old Style" w:hAnsi="Bookman Old Style" w:cstheme="minorHAnsi"/>
          <w:sz w:val="24"/>
          <w:szCs w:val="24"/>
        </w:rPr>
        <w:t xml:space="preserve"> diretos dos cidadãos. </w:t>
      </w:r>
    </w:p>
    <w:p w:rsidR="00D455CA" w:rsidRPr="00D455CA" w:rsidRDefault="00D455CA" w:rsidP="00D455CA">
      <w:pPr>
        <w:autoSpaceDE w:val="0"/>
        <w:autoSpaceDN w:val="0"/>
        <w:adjustRightInd w:val="0"/>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A participação social não é uma panaceia: esta é uma lição a ser sempre lembrada. Ao contrário, representa um processo oneroso para o cidadão comum, que costuma ser apropriada e mantida por determinados grupos sociais, como funcionários públicos, letrados, pessoas mais velhas, homens, militantes políticos. É preciso sempre cuidar de aperfeiçoá-la e ampliar seus mecanismos. </w:t>
      </w:r>
    </w:p>
    <w:p w:rsidR="00D455CA" w:rsidRPr="00D455CA" w:rsidRDefault="00D455CA" w:rsidP="00D455CA">
      <w:pPr>
        <w:autoSpaceDE w:val="0"/>
        <w:autoSpaceDN w:val="0"/>
        <w:adjustRightInd w:val="0"/>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É sobre a ampliação da participação social em saúde até outros atores e segmentos diferentes dos já habitualmente contemplados e mais particularmente àqueles presentes no ambiente local dos serviços que este trabalho se debruça. </w:t>
      </w:r>
    </w:p>
    <w:p w:rsidR="00D455CA" w:rsidRPr="00D455CA" w:rsidRDefault="00D455CA" w:rsidP="00D455CA">
      <w:pPr>
        <w:autoSpaceDE w:val="0"/>
        <w:autoSpaceDN w:val="0"/>
        <w:adjustRightInd w:val="0"/>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Em suma, a proposta de </w:t>
      </w:r>
      <w:r w:rsidRPr="00D455CA">
        <w:rPr>
          <w:rFonts w:ascii="Bookman Old Style" w:hAnsi="Bookman Old Style" w:cstheme="minorHAnsi"/>
          <w:i/>
          <w:sz w:val="24"/>
          <w:szCs w:val="24"/>
        </w:rPr>
        <w:t>micro participação</w:t>
      </w:r>
      <w:r w:rsidRPr="00D455CA">
        <w:rPr>
          <w:rFonts w:ascii="Bookman Old Style" w:hAnsi="Bookman Old Style" w:cstheme="minorHAnsi"/>
          <w:sz w:val="24"/>
          <w:szCs w:val="24"/>
        </w:rPr>
        <w:t xml:space="preserve"> que aqui é trazida representa o exercício de uma participação </w:t>
      </w:r>
      <w:r w:rsidRPr="00D455CA">
        <w:rPr>
          <w:rFonts w:ascii="Bookman Old Style" w:hAnsi="Bookman Old Style" w:cstheme="minorHAnsi"/>
          <w:i/>
          <w:iCs/>
          <w:sz w:val="24"/>
          <w:szCs w:val="24"/>
        </w:rPr>
        <w:t>capilarizada</w:t>
      </w:r>
      <w:r w:rsidRPr="00D455CA">
        <w:rPr>
          <w:rFonts w:ascii="Bookman Old Style" w:hAnsi="Bookman Old Style" w:cstheme="minorHAnsi"/>
          <w:sz w:val="24"/>
          <w:szCs w:val="24"/>
        </w:rPr>
        <w:t xml:space="preserve"> no âmbito de serviços ou unidades de saúde, mais do que no âmbito municipal ou de outra esfera de governo. Sobre tal modalidade a literatura brasileira é escassa, embora existam muitas lições trazidas pelas experiências de fora do país. </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Torna-se preciso, acima de tudo, dar voz aos </w:t>
      </w:r>
      <w:r w:rsidRPr="00D455CA">
        <w:rPr>
          <w:rFonts w:ascii="Bookman Old Style" w:hAnsi="Bookman Old Style" w:cstheme="minorHAnsi"/>
          <w:i/>
          <w:sz w:val="24"/>
          <w:szCs w:val="24"/>
        </w:rPr>
        <w:t>interessados</w:t>
      </w:r>
      <w:r w:rsidRPr="00D455CA">
        <w:rPr>
          <w:rFonts w:ascii="Bookman Old Style" w:hAnsi="Bookman Old Style" w:cstheme="minorHAnsi"/>
          <w:sz w:val="24"/>
          <w:szCs w:val="24"/>
        </w:rPr>
        <w:t xml:space="preserve">, mais do que apenas a militantes e representantes formais de instituições, cuja legitimidade e representatividade muitas vezes se questiona. Neste aspecto, o verdadeiro dilema do </w:t>
      </w:r>
      <w:r w:rsidRPr="00D455CA">
        <w:rPr>
          <w:rFonts w:ascii="Bookman Old Style" w:hAnsi="Bookman Old Style" w:cstheme="minorHAnsi"/>
          <w:i/>
          <w:sz w:val="24"/>
          <w:szCs w:val="24"/>
        </w:rPr>
        <w:t xml:space="preserve">poder deliberativo, </w:t>
      </w:r>
      <w:r w:rsidRPr="00D455CA">
        <w:rPr>
          <w:rFonts w:ascii="Bookman Old Style" w:hAnsi="Bookman Old Style" w:cstheme="minorHAnsi"/>
          <w:sz w:val="24"/>
          <w:szCs w:val="24"/>
        </w:rPr>
        <w:t xml:space="preserve">tal como se vê na lei 8.142, deve ser superado, de modo a transformar o processo participativo em iniciativa realmente abrangente e gerada na base da sociedade, evitando iludir os participantes a respeito das efetivas consequências e alcance de sua adesão ao processo. </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Entre as ferramentas adequadas à construção e ao aperfeiçoamento da participação social em saúde, de modo a atenuar algumas de suas limitações operacionais e conceituais expostas acima, e a aplicação de tal </w:t>
      </w:r>
      <w:r w:rsidRPr="00D455CA">
        <w:rPr>
          <w:rFonts w:ascii="Bookman Old Style" w:hAnsi="Bookman Old Style" w:cstheme="minorHAnsi"/>
          <w:i/>
          <w:iCs/>
          <w:sz w:val="24"/>
          <w:szCs w:val="24"/>
        </w:rPr>
        <w:t>micro participação</w:t>
      </w:r>
      <w:r w:rsidRPr="00D455CA">
        <w:rPr>
          <w:rFonts w:ascii="Bookman Old Style" w:hAnsi="Bookman Old Style" w:cstheme="minorHAnsi"/>
          <w:sz w:val="24"/>
          <w:szCs w:val="24"/>
        </w:rPr>
        <w:t xml:space="preserve">, estaria a </w:t>
      </w:r>
      <w:r w:rsidRPr="00D455CA">
        <w:rPr>
          <w:rFonts w:ascii="Bookman Old Style" w:hAnsi="Bookman Old Style" w:cstheme="minorHAnsi"/>
          <w:i/>
          <w:iCs/>
          <w:sz w:val="24"/>
          <w:szCs w:val="24"/>
        </w:rPr>
        <w:t>Terapia Comunitária Integrativa,</w:t>
      </w:r>
      <w:r w:rsidRPr="00D455CA">
        <w:rPr>
          <w:rFonts w:ascii="Bookman Old Style" w:hAnsi="Bookman Old Style" w:cstheme="minorHAnsi"/>
          <w:sz w:val="24"/>
          <w:szCs w:val="24"/>
        </w:rPr>
        <w:t xml:space="preserve"> tecnologia social concebida com objetivo diferente, mas cujos recursos metodológicos possuem sintonia com o processo participativo, na medida em que apresenta como focos de ação: (1) o foco no trabalho em grupo, na busca conjunta de soluções dos problemas do cotidiano (“onde existe problema, reside também a solução”; (2) o incentivo à promoção gradual de uma consciência social em relação à origem e às implicações sociais da pobreza, do sofrimento e da fragmentação sociocultural, fomentando a descoberta de potencialidades transformadoras nas pessoas e comunidades; (3) o componente de promoção da saúde, associando elementos culturais e sociais ativos nas comunidades, ou seja, profissionais de saúde e usuários dos serviços.</w:t>
      </w:r>
    </w:p>
    <w:p w:rsidR="00D455CA" w:rsidRPr="00D455CA" w:rsidRDefault="00D455CA" w:rsidP="00D455CA">
      <w:pPr>
        <w:shd w:val="clear" w:color="auto" w:fill="FFFFFF"/>
        <w:spacing w:before="100" w:beforeAutospacing="1" w:after="100" w:afterAutospacing="1" w:line="240" w:lineRule="auto"/>
        <w:jc w:val="both"/>
        <w:rPr>
          <w:rFonts w:ascii="Bookman Old Style" w:eastAsia="Times New Roman" w:hAnsi="Bookman Old Style" w:cstheme="minorHAnsi"/>
          <w:b/>
          <w:bCs/>
          <w:color w:val="000000"/>
          <w:sz w:val="24"/>
          <w:szCs w:val="24"/>
          <w:lang w:eastAsia="pt-BR"/>
        </w:rPr>
      </w:pPr>
      <w:r w:rsidRPr="00D455CA">
        <w:rPr>
          <w:rFonts w:ascii="Bookman Old Style" w:eastAsia="Times New Roman" w:hAnsi="Bookman Old Style" w:cstheme="minorHAnsi"/>
          <w:b/>
          <w:bCs/>
          <w:color w:val="000000"/>
          <w:sz w:val="24"/>
          <w:szCs w:val="24"/>
          <w:lang w:eastAsia="pt-BR"/>
        </w:rPr>
        <w:lastRenderedPageBreak/>
        <w:t>Sobre a Terapia Comunitária Integrativa</w:t>
      </w:r>
    </w:p>
    <w:p w:rsidR="00D455CA" w:rsidRPr="00D455CA" w:rsidRDefault="00D455CA" w:rsidP="00D455CA">
      <w:pPr>
        <w:shd w:val="clear" w:color="auto" w:fill="FFFFFF"/>
        <w:spacing w:before="100" w:beforeAutospacing="1" w:after="100" w:afterAutospacing="1" w:line="240" w:lineRule="auto"/>
        <w:jc w:val="both"/>
        <w:rPr>
          <w:rFonts w:ascii="Bookman Old Style" w:eastAsia="Times New Roman" w:hAnsi="Bookman Old Style" w:cstheme="minorHAnsi"/>
          <w:color w:val="000000"/>
          <w:sz w:val="24"/>
          <w:szCs w:val="24"/>
          <w:lang w:eastAsia="pt-BR"/>
        </w:rPr>
      </w:pPr>
      <w:r w:rsidRPr="00D455CA">
        <w:rPr>
          <w:rFonts w:ascii="Bookman Old Style" w:eastAsia="Times New Roman" w:hAnsi="Bookman Old Style" w:cstheme="minorHAnsi"/>
          <w:color w:val="000000"/>
          <w:sz w:val="24"/>
          <w:szCs w:val="24"/>
          <w:lang w:eastAsia="pt-BR"/>
        </w:rPr>
        <w:t xml:space="preserve">A Terapia Comunitária Integrativa (TCI), criada e desenvolvida pelo psiquiatra e antropólogo cearense Adalberto Barreto, em 1987, representa um espaço coletivo que se abre para a fala e a ausculta das pessoas, tendo como pontos de partida suas histórias de vida. Essa tecnologia social, realizada sempre em grupo, possibilita um novo olhar para si mesmo e para o entorno, facultando-lhe também a oportunidade de falarem sobre suas histórias de vida, de dor e de conflitos, de forma horizontal e circular.  </w:t>
      </w:r>
    </w:p>
    <w:p w:rsidR="00D455CA" w:rsidRPr="00D455CA" w:rsidRDefault="00D455CA" w:rsidP="00D455CA">
      <w:pPr>
        <w:shd w:val="clear" w:color="auto" w:fill="FFFFFF"/>
        <w:spacing w:before="100" w:beforeAutospacing="1" w:after="100" w:afterAutospacing="1" w:line="240" w:lineRule="auto"/>
        <w:jc w:val="both"/>
        <w:rPr>
          <w:rFonts w:ascii="Bookman Old Style" w:eastAsia="Times New Roman" w:hAnsi="Bookman Old Style" w:cstheme="minorHAnsi"/>
          <w:color w:val="000000"/>
          <w:sz w:val="24"/>
          <w:szCs w:val="24"/>
          <w:lang w:eastAsia="pt-BR"/>
        </w:rPr>
      </w:pPr>
      <w:r w:rsidRPr="00D455CA">
        <w:rPr>
          <w:rFonts w:ascii="Bookman Old Style" w:eastAsia="Times New Roman" w:hAnsi="Bookman Old Style" w:cstheme="minorHAnsi"/>
          <w:color w:val="000000"/>
          <w:sz w:val="24"/>
          <w:szCs w:val="24"/>
          <w:lang w:eastAsia="pt-BR"/>
        </w:rPr>
        <w:t xml:space="preserve">A TCI representa também um compartilhamento de experiências de vida e de saberes, abrindo espaço para a responsabilização solidária na busca de superação e solução de problemas cotidianos, individuais ou coletivos. Como desdobramentos vislumbram-se: suporte e apoio grupal e/ou comunitário; abertura de espaços de fala sobre sofrimentos e possibilidades superação dos mesmos; resgate de autoestima; suporte para a prática de mudanças existenciais, além da promoção da saúde inserida na atenção primária em saúde, com incentivo a usar a criatividade das pessoas aproveitando os recursos da própria cultura. </w:t>
      </w:r>
    </w:p>
    <w:p w:rsidR="00D455CA" w:rsidRPr="00D455CA" w:rsidRDefault="00D455CA" w:rsidP="00D455CA">
      <w:pPr>
        <w:shd w:val="clear" w:color="auto" w:fill="FFFFFF"/>
        <w:spacing w:before="100" w:beforeAutospacing="1" w:after="100" w:afterAutospacing="1" w:line="240" w:lineRule="auto"/>
        <w:jc w:val="both"/>
        <w:rPr>
          <w:rFonts w:ascii="Bookman Old Style" w:eastAsia="Times New Roman" w:hAnsi="Bookman Old Style" w:cstheme="minorHAnsi"/>
          <w:color w:val="000000"/>
          <w:sz w:val="24"/>
          <w:szCs w:val="24"/>
          <w:lang w:eastAsia="pt-BR"/>
        </w:rPr>
      </w:pPr>
      <w:r w:rsidRPr="00D455CA">
        <w:rPr>
          <w:rFonts w:ascii="Bookman Old Style" w:eastAsia="Times New Roman" w:hAnsi="Bookman Old Style" w:cstheme="minorHAnsi"/>
          <w:sz w:val="24"/>
          <w:szCs w:val="24"/>
          <w:lang w:eastAsia="pt-BR"/>
        </w:rPr>
        <w:t xml:space="preserve">Essa tecnologia social também abre </w:t>
      </w:r>
      <w:r w:rsidRPr="00D455CA">
        <w:rPr>
          <w:rFonts w:ascii="Bookman Old Style" w:eastAsia="Times New Roman" w:hAnsi="Bookman Old Style" w:cstheme="minorHAnsi"/>
          <w:color w:val="000000"/>
          <w:sz w:val="24"/>
          <w:szCs w:val="24"/>
          <w:lang w:eastAsia="pt-BR"/>
        </w:rPr>
        <w:t>portas para a agregação de conhecimento científico ao saber popular. Ela vem demonstrando, ao longo dos anos e através de experiências diversas, no Brasil e no exterior, marcante eficácia na promoção de autoestima, na prevenção do adoecimento, bem como no resgate de vínculos afetivos, solidários e comunitários, como potente instrumento facilitador de agregação, mobilização e inclusão social.</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Como associar essas duas tecnologias, uma com propósitos </w:t>
      </w:r>
      <w:r w:rsidRPr="00D455CA">
        <w:rPr>
          <w:rFonts w:ascii="Bookman Old Style" w:hAnsi="Bookman Old Style" w:cstheme="minorHAnsi"/>
          <w:i/>
          <w:iCs/>
          <w:sz w:val="24"/>
          <w:szCs w:val="24"/>
        </w:rPr>
        <w:t>terapêuticos e construção de vínculos solidários</w:t>
      </w:r>
      <w:r w:rsidRPr="00D455CA">
        <w:rPr>
          <w:rFonts w:ascii="Bookman Old Style" w:hAnsi="Bookman Old Style" w:cstheme="minorHAnsi"/>
          <w:sz w:val="24"/>
          <w:szCs w:val="24"/>
        </w:rPr>
        <w:t xml:space="preserve"> e outra voltada para a </w:t>
      </w:r>
      <w:r w:rsidRPr="00D455CA">
        <w:rPr>
          <w:rFonts w:ascii="Bookman Old Style" w:hAnsi="Bookman Old Style" w:cstheme="minorHAnsi"/>
          <w:i/>
          <w:iCs/>
          <w:sz w:val="24"/>
          <w:szCs w:val="24"/>
        </w:rPr>
        <w:t>participação</w:t>
      </w:r>
      <w:r w:rsidRPr="00D455CA">
        <w:rPr>
          <w:rFonts w:ascii="Bookman Old Style" w:hAnsi="Bookman Old Style" w:cstheme="minorHAnsi"/>
          <w:sz w:val="24"/>
          <w:szCs w:val="24"/>
        </w:rPr>
        <w:t xml:space="preserve">? Convergência evidente em ambas é o fato de representarem processos realizados de forma </w:t>
      </w:r>
      <w:r w:rsidRPr="00D455CA">
        <w:rPr>
          <w:rFonts w:ascii="Bookman Old Style" w:hAnsi="Bookman Old Style" w:cstheme="minorHAnsi"/>
          <w:i/>
          <w:iCs/>
          <w:sz w:val="24"/>
          <w:szCs w:val="24"/>
        </w:rPr>
        <w:t>grupal,</w:t>
      </w:r>
      <w:r w:rsidRPr="00D455CA">
        <w:rPr>
          <w:rFonts w:ascii="Bookman Old Style" w:hAnsi="Bookman Old Style" w:cstheme="minorHAnsi"/>
          <w:sz w:val="24"/>
          <w:szCs w:val="24"/>
        </w:rPr>
        <w:t xml:space="preserve"> o que, sem dúvida, já seria um começo para entender uma possível aproximação operacional entre as duas. De toda forma, o grande empréstimo que a Terapia Comunitária pode fazer à Participação Social em Saúde talvez seja seu método de trabalho, que parte do princípio de que toda pessoa, independentemente de sua condição econômica ou cultural, mesmo desconhecendo seu potencial, possui recursos e saberes que podem ser úteis aos demais.  São competências marcantes, que se originam diretamente das dificuldades que as pessoas conseguem superar ao longo de suas vidas e do acervo de recursos culturais de que podem lançar mão. Sob tais bases, o compartilhamento de informações e práticas vai ocorrer de forma </w:t>
      </w:r>
      <w:r w:rsidRPr="00D455CA">
        <w:rPr>
          <w:rFonts w:ascii="Bookman Old Style" w:hAnsi="Bookman Old Style" w:cstheme="minorHAnsi"/>
          <w:i/>
          <w:iCs/>
          <w:sz w:val="24"/>
          <w:szCs w:val="24"/>
        </w:rPr>
        <w:t>horizontal e circular</w:t>
      </w:r>
      <w:r w:rsidRPr="00D455CA">
        <w:rPr>
          <w:rFonts w:ascii="Bookman Old Style" w:hAnsi="Bookman Old Style" w:cstheme="minorHAnsi"/>
          <w:sz w:val="24"/>
          <w:szCs w:val="24"/>
        </w:rPr>
        <w:t xml:space="preserve">, uma vez que se valoriza não propriamente as diferenças de status econômico ou educacional, mas a variedade, em si, das experiências de vida – o que sem dúvida nivela os participantes em um mesmo patamar. </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Assim, a utilização do método da TCI nas práticas participativas se aplicaria, diretamente, à participação local, no nível direto dos serviços de saúde, pela importância a que neste nível chegam questões reais vividas pelas comunidades adjacentes. Daí decorre também a possibilidade de que se resgate e se destaque um elemento que muitas vezes falta à prática dos conselhos formais de saúde, em níveis de bairro, cidade ou estado: a presença de pessoas verdadeiramente </w:t>
      </w:r>
      <w:r w:rsidRPr="00D455CA">
        <w:rPr>
          <w:rFonts w:ascii="Bookman Old Style" w:hAnsi="Bookman Old Style" w:cstheme="minorHAnsi"/>
          <w:i/>
          <w:iCs/>
          <w:sz w:val="24"/>
          <w:szCs w:val="24"/>
        </w:rPr>
        <w:t>interessadas</w:t>
      </w:r>
      <w:r w:rsidRPr="00D455CA">
        <w:rPr>
          <w:rFonts w:ascii="Bookman Old Style" w:hAnsi="Bookman Old Style" w:cstheme="minorHAnsi"/>
          <w:sz w:val="24"/>
          <w:szCs w:val="24"/>
        </w:rPr>
        <w:t xml:space="preserve"> em determinada questão, pais ou responsáveis por filhos problemáticos ou de adolescentes em conflito com a lei, deficientes e portadores de patologias específicas, por exemplo, que de outra forma teriam menos chances de acesso a instâncias participativas ou mesmo de apoio social. </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A metodologia da TCI parte de uma ausculta bem mais real do sofrimento enfrentado pelas comunidades, possibilita acolher conflitos, sentimentos, emoções, vivências reais daquele </w:t>
      </w:r>
      <w:r w:rsidRPr="00D455CA">
        <w:rPr>
          <w:rFonts w:ascii="Bookman Old Style" w:hAnsi="Bookman Old Style" w:cstheme="minorHAnsi"/>
          <w:sz w:val="24"/>
          <w:szCs w:val="24"/>
        </w:rPr>
        <w:lastRenderedPageBreak/>
        <w:t>grupo, muitas vezes invisíveis as políticas públicas, inclusive não só de doenças diagnosticáveis, mas sim de dificuldades pessoais e comunitários geradores de sofrimentos, se tornando causas de adoecimentos futuros. Por exemplo, mães com filhos nas drogas, maridos dependentes de álcool, violência doméstica, violência urbana, etc. Isso representaria a verdadeira promoção à saúde, perceber o sofrimento ainda em nível de sua raiz pessoal e coletiva. De fato, as sessões (</w:t>
      </w:r>
      <w:r w:rsidRPr="00D455CA">
        <w:rPr>
          <w:rFonts w:ascii="Bookman Old Style" w:hAnsi="Bookman Old Style" w:cstheme="minorHAnsi"/>
          <w:i/>
          <w:iCs/>
          <w:sz w:val="24"/>
          <w:szCs w:val="24"/>
        </w:rPr>
        <w:t>Rodas</w:t>
      </w:r>
      <w:r w:rsidRPr="00D455CA">
        <w:rPr>
          <w:rFonts w:ascii="Bookman Old Style" w:hAnsi="Bookman Old Style" w:cstheme="minorHAnsi"/>
          <w:sz w:val="24"/>
          <w:szCs w:val="24"/>
        </w:rPr>
        <w:t xml:space="preserve">) da TCI facilitam verdadeira capilaridade ao processo participativo, ao penetrar nos recônditos das questões reais vividas pelas pessoas em suas comunidades. Isso é bem diferente de lideranças ou militantes formais e burocráticos das organizações que constituem a base dos conselhos de saúde, até mesmo por força de lei.    </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O que a TCI pode trazer, concretamente, ao cenário da participação em saúde é o seu método de trabalho, no qual se destacam os atributos de um </w:t>
      </w:r>
      <w:r w:rsidRPr="00D455CA">
        <w:rPr>
          <w:rFonts w:ascii="Bookman Old Style" w:hAnsi="Bookman Old Style" w:cstheme="minorHAnsi"/>
          <w:i/>
          <w:iCs/>
          <w:sz w:val="24"/>
          <w:szCs w:val="24"/>
        </w:rPr>
        <w:t>terapeuta</w:t>
      </w:r>
      <w:r w:rsidRPr="00D455CA">
        <w:rPr>
          <w:rFonts w:ascii="Bookman Old Style" w:hAnsi="Bookman Old Style" w:cstheme="minorHAnsi"/>
          <w:sz w:val="24"/>
          <w:szCs w:val="24"/>
        </w:rPr>
        <w:t xml:space="preserve"> </w:t>
      </w:r>
      <w:r w:rsidRPr="00D455CA">
        <w:rPr>
          <w:rFonts w:ascii="Bookman Old Style" w:hAnsi="Bookman Old Style" w:cstheme="minorHAnsi"/>
          <w:i/>
          <w:iCs/>
          <w:sz w:val="24"/>
          <w:szCs w:val="24"/>
        </w:rPr>
        <w:t>comunitário</w:t>
      </w:r>
      <w:r w:rsidRPr="00D455CA">
        <w:rPr>
          <w:rFonts w:ascii="Bookman Old Style" w:hAnsi="Bookman Old Style" w:cstheme="minorHAnsi"/>
          <w:sz w:val="24"/>
          <w:szCs w:val="24"/>
        </w:rPr>
        <w:t xml:space="preserve">, que aqui pode ser denominado de </w:t>
      </w:r>
      <w:r w:rsidRPr="00D455CA">
        <w:rPr>
          <w:rFonts w:ascii="Bookman Old Style" w:hAnsi="Bookman Old Style" w:cstheme="minorHAnsi"/>
          <w:i/>
          <w:iCs/>
          <w:sz w:val="24"/>
          <w:szCs w:val="24"/>
        </w:rPr>
        <w:t>facilitador</w:t>
      </w:r>
      <w:r w:rsidRPr="00D455CA">
        <w:rPr>
          <w:rFonts w:ascii="Bookman Old Style" w:hAnsi="Bookman Old Style" w:cstheme="minorHAnsi"/>
          <w:sz w:val="24"/>
          <w:szCs w:val="24"/>
        </w:rPr>
        <w:t xml:space="preserve">. Note-se que a Lei 8142 dificilmente se adaptaria à  participação em nível local de serviços de saúde e que as atribuições de um agente de facilitação, como o aqui proposto, nem mesmo são consideradas, como se a tal </w:t>
      </w:r>
      <w:r w:rsidRPr="00D455CA">
        <w:rPr>
          <w:rFonts w:ascii="Bookman Old Style" w:hAnsi="Bookman Old Style" w:cstheme="minorHAnsi"/>
          <w:i/>
          <w:iCs/>
          <w:sz w:val="24"/>
          <w:szCs w:val="24"/>
        </w:rPr>
        <w:t>deliberação</w:t>
      </w:r>
      <w:r w:rsidRPr="00D455CA">
        <w:rPr>
          <w:rFonts w:ascii="Bookman Old Style" w:hAnsi="Bookman Old Style" w:cstheme="minorHAnsi"/>
          <w:sz w:val="24"/>
          <w:szCs w:val="24"/>
        </w:rPr>
        <w:t xml:space="preserve"> caísse do céu como uma dádiva. </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Os atributos de </w:t>
      </w:r>
      <w:r w:rsidRPr="00D455CA">
        <w:rPr>
          <w:rFonts w:ascii="Bookman Old Style" w:hAnsi="Bookman Old Style" w:cstheme="minorHAnsi"/>
          <w:i/>
          <w:iCs/>
          <w:sz w:val="24"/>
          <w:szCs w:val="24"/>
        </w:rPr>
        <w:t>facilitação</w:t>
      </w:r>
      <w:r w:rsidRPr="00D455CA">
        <w:rPr>
          <w:rFonts w:ascii="Bookman Old Style" w:hAnsi="Bookman Old Style" w:cstheme="minorHAnsi"/>
          <w:sz w:val="24"/>
          <w:szCs w:val="24"/>
        </w:rPr>
        <w:t xml:space="preserve"> na TCI são os seguintes: (1) </w:t>
      </w:r>
      <w:r w:rsidRPr="00D455CA">
        <w:rPr>
          <w:rFonts w:ascii="Bookman Old Style" w:hAnsi="Bookman Old Style" w:cstheme="minorHAnsi"/>
          <w:i/>
          <w:iCs/>
          <w:sz w:val="24"/>
          <w:szCs w:val="24"/>
        </w:rPr>
        <w:t>papel catalisador</w:t>
      </w:r>
      <w:r w:rsidRPr="00D455CA">
        <w:rPr>
          <w:rFonts w:ascii="Bookman Old Style" w:hAnsi="Bookman Old Style" w:cstheme="minorHAnsi"/>
          <w:sz w:val="24"/>
          <w:szCs w:val="24"/>
        </w:rPr>
        <w:t xml:space="preserve">: aceleração, mediação e regência em relação ao trabalho de grupo, traduzido também por acolhimento, questionamentos, clarificação, promoção de aprofundamento e debate; (2) práticas de </w:t>
      </w:r>
      <w:r w:rsidRPr="00D455CA">
        <w:rPr>
          <w:rFonts w:ascii="Bookman Old Style" w:hAnsi="Bookman Old Style" w:cstheme="minorHAnsi"/>
          <w:i/>
          <w:iCs/>
          <w:sz w:val="24"/>
          <w:szCs w:val="24"/>
        </w:rPr>
        <w:t>horizontalidade, circularidade, diluição de poder, compartilhamento</w:t>
      </w:r>
      <w:r w:rsidRPr="00D455CA">
        <w:rPr>
          <w:rFonts w:ascii="Bookman Old Style" w:hAnsi="Bookman Old Style" w:cstheme="minorHAnsi"/>
          <w:sz w:val="24"/>
          <w:szCs w:val="24"/>
        </w:rPr>
        <w:t xml:space="preserve">; (3) </w:t>
      </w:r>
      <w:r w:rsidRPr="00D455CA">
        <w:rPr>
          <w:rFonts w:ascii="Bookman Old Style" w:hAnsi="Bookman Old Style" w:cstheme="minorHAnsi"/>
          <w:i/>
          <w:iCs/>
          <w:sz w:val="24"/>
          <w:szCs w:val="24"/>
        </w:rPr>
        <w:t>gestão de regras</w:t>
      </w:r>
      <w:r w:rsidRPr="00D455CA">
        <w:rPr>
          <w:rFonts w:ascii="Bookman Old Style" w:hAnsi="Bookman Old Style" w:cstheme="minorHAnsi"/>
          <w:sz w:val="24"/>
          <w:szCs w:val="24"/>
        </w:rPr>
        <w:t xml:space="preserve"> compartilhadas: silêncio, respeito ao outro, utilização da 1ª pessoa, não aconselhamento, julgamento, (4) acatamento e respeito à </w:t>
      </w:r>
      <w:r w:rsidRPr="00D455CA">
        <w:rPr>
          <w:rFonts w:ascii="Bookman Old Style" w:hAnsi="Bookman Old Style" w:cstheme="minorHAnsi"/>
          <w:i/>
          <w:iCs/>
          <w:sz w:val="24"/>
          <w:szCs w:val="24"/>
        </w:rPr>
        <w:t>diversidade</w:t>
      </w:r>
      <w:r w:rsidRPr="00D455CA">
        <w:rPr>
          <w:rFonts w:ascii="Bookman Old Style" w:hAnsi="Bookman Old Style" w:cstheme="minorHAnsi"/>
          <w:sz w:val="24"/>
          <w:szCs w:val="24"/>
        </w:rPr>
        <w:t xml:space="preserve"> e à não existência de um “centro de saber”, traduzido pela frase: </w:t>
      </w:r>
      <w:r w:rsidRPr="00D455CA">
        <w:rPr>
          <w:rFonts w:ascii="Bookman Old Style" w:hAnsi="Bookman Old Style" w:cstheme="minorHAnsi"/>
          <w:i/>
          <w:iCs/>
          <w:sz w:val="24"/>
          <w:szCs w:val="24"/>
        </w:rPr>
        <w:t>a riqueza está nas diferenças</w:t>
      </w:r>
      <w:r w:rsidRPr="00D455CA">
        <w:rPr>
          <w:rFonts w:ascii="Bookman Old Style" w:hAnsi="Bookman Old Style" w:cstheme="minorHAnsi"/>
          <w:sz w:val="24"/>
          <w:szCs w:val="24"/>
        </w:rPr>
        <w:t xml:space="preserve">; (5) prática de uma </w:t>
      </w:r>
      <w:r w:rsidRPr="00D455CA">
        <w:rPr>
          <w:rFonts w:ascii="Bookman Old Style" w:hAnsi="Bookman Old Style" w:cstheme="minorHAnsi"/>
          <w:i/>
          <w:iCs/>
          <w:sz w:val="24"/>
          <w:szCs w:val="24"/>
        </w:rPr>
        <w:t>ecologia do espírito</w:t>
      </w:r>
      <w:r w:rsidRPr="00D455CA">
        <w:rPr>
          <w:rFonts w:ascii="Bookman Old Style" w:hAnsi="Bookman Old Style" w:cstheme="minorHAnsi"/>
          <w:sz w:val="24"/>
          <w:szCs w:val="24"/>
        </w:rPr>
        <w:t xml:space="preserve">: incentivo e aceitação de um diálogo incessante sobre todos os temas em debate pelo grupo. Isso, naturalmente, tem aplicação imediata aos processos de participação social dentro dessa nova ótica. </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 ***</w:t>
      </w:r>
    </w:p>
    <w:p w:rsidR="00D455CA" w:rsidRPr="00D455CA" w:rsidRDefault="00D455CA" w:rsidP="00D455CA">
      <w:pPr>
        <w:spacing w:before="100" w:beforeAutospacing="1" w:after="100" w:afterAutospacing="1" w:line="240" w:lineRule="auto"/>
        <w:jc w:val="both"/>
        <w:rPr>
          <w:rFonts w:ascii="Bookman Old Style" w:hAnsi="Bookman Old Style" w:cstheme="minorHAnsi"/>
          <w:b/>
          <w:bCs/>
          <w:sz w:val="24"/>
          <w:szCs w:val="24"/>
        </w:rPr>
      </w:pPr>
      <w:r w:rsidRPr="00D455CA">
        <w:rPr>
          <w:rFonts w:ascii="Bookman Old Style" w:hAnsi="Bookman Old Style" w:cstheme="minorHAnsi"/>
          <w:b/>
          <w:bCs/>
          <w:sz w:val="24"/>
          <w:szCs w:val="24"/>
        </w:rPr>
        <w:t>Participação Comunitária Integrativa: Uma proposta para “Fazer Diferente”</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Dito isso, como operacionalizar as contribuições da Terapia Comunitária Integrativa na participação social em saúde? Como associar a micro participação (local, em nível de serviços de saúde) e a prática da TCI? Quando a isso, alguns passos podem ser sugeridos </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iCs/>
          <w:sz w:val="24"/>
          <w:szCs w:val="24"/>
        </w:rPr>
        <w:t>Para essa prática utilizaremos o termo</w:t>
      </w:r>
      <w:r w:rsidRPr="00D455CA">
        <w:rPr>
          <w:rFonts w:ascii="Bookman Old Style" w:hAnsi="Bookman Old Style" w:cstheme="minorHAnsi"/>
          <w:i/>
          <w:iCs/>
          <w:sz w:val="24"/>
          <w:szCs w:val="24"/>
        </w:rPr>
        <w:t xml:space="preserve"> p</w:t>
      </w:r>
      <w:r w:rsidRPr="00D455CA">
        <w:rPr>
          <w:rFonts w:ascii="Bookman Old Style" w:hAnsi="Bookman Old Style" w:cstheme="minorHAnsi"/>
          <w:i/>
          <w:sz w:val="24"/>
          <w:szCs w:val="24"/>
        </w:rPr>
        <w:t xml:space="preserve">articipação </w:t>
      </w:r>
      <w:r w:rsidRPr="00D455CA">
        <w:rPr>
          <w:rFonts w:ascii="Bookman Old Style" w:hAnsi="Bookman Old Style" w:cstheme="minorHAnsi"/>
          <w:i/>
          <w:iCs/>
          <w:sz w:val="24"/>
          <w:szCs w:val="24"/>
        </w:rPr>
        <w:t>comunitária</w:t>
      </w:r>
      <w:r w:rsidRPr="00D455CA">
        <w:rPr>
          <w:rFonts w:ascii="Bookman Old Style" w:hAnsi="Bookman Old Style" w:cstheme="minorHAnsi"/>
          <w:i/>
          <w:sz w:val="24"/>
          <w:szCs w:val="24"/>
        </w:rPr>
        <w:t xml:space="preserve"> integrativa (PCI), </w:t>
      </w:r>
      <w:r w:rsidRPr="00D455CA">
        <w:rPr>
          <w:rFonts w:ascii="Bookman Old Style" w:hAnsi="Bookman Old Style" w:cstheme="minorHAnsi"/>
          <w:iCs/>
          <w:sz w:val="24"/>
          <w:szCs w:val="24"/>
        </w:rPr>
        <w:t xml:space="preserve">como um processo que alia princípios de participação social em nível </w:t>
      </w:r>
      <w:r w:rsidRPr="00D455CA">
        <w:rPr>
          <w:rFonts w:ascii="Bookman Old Style" w:hAnsi="Bookman Old Style" w:cstheme="minorHAnsi"/>
          <w:i/>
          <w:sz w:val="24"/>
          <w:szCs w:val="24"/>
        </w:rPr>
        <w:t>micro</w:t>
      </w:r>
      <w:r w:rsidRPr="00D455CA">
        <w:rPr>
          <w:rFonts w:ascii="Bookman Old Style" w:hAnsi="Bookman Old Style" w:cstheme="minorHAnsi"/>
          <w:iCs/>
          <w:sz w:val="24"/>
          <w:szCs w:val="24"/>
        </w:rPr>
        <w:t xml:space="preserve"> com a essência da TCI, integrando individual e comunitário; terapêutico e ação política; identificação do sofrimento e busca de soluções; sofrimento pessoal e determinação socioeconômica</w:t>
      </w:r>
      <w:r w:rsidRPr="00D455CA">
        <w:rPr>
          <w:rFonts w:ascii="Bookman Old Style" w:hAnsi="Bookman Old Style" w:cstheme="minorHAnsi"/>
          <w:sz w:val="24"/>
          <w:szCs w:val="24"/>
        </w:rPr>
        <w:t xml:space="preserve">. Aqui se aplicaria diretamente o enfoque de </w:t>
      </w:r>
      <w:r w:rsidRPr="00D455CA">
        <w:rPr>
          <w:rFonts w:ascii="Bookman Old Style" w:hAnsi="Bookman Old Style" w:cstheme="minorHAnsi"/>
          <w:i/>
          <w:sz w:val="24"/>
          <w:szCs w:val="24"/>
        </w:rPr>
        <w:t>saúde em todas as políticas</w:t>
      </w:r>
      <w:r w:rsidRPr="00D455CA">
        <w:rPr>
          <w:rFonts w:ascii="Bookman Old Style" w:hAnsi="Bookman Old Style" w:cstheme="minorHAnsi"/>
          <w:sz w:val="24"/>
          <w:szCs w:val="24"/>
        </w:rPr>
        <w:t xml:space="preserve">, como proposto pela OMS, com definição gradual de prioridades e focos, respeitando o </w:t>
      </w:r>
      <w:r w:rsidRPr="00D455CA">
        <w:rPr>
          <w:rFonts w:ascii="Bookman Old Style" w:hAnsi="Bookman Old Style" w:cstheme="minorHAnsi"/>
          <w:i/>
          <w:sz w:val="24"/>
          <w:szCs w:val="24"/>
        </w:rPr>
        <w:t>timing</w:t>
      </w:r>
      <w:r w:rsidRPr="00D455CA">
        <w:rPr>
          <w:rFonts w:ascii="Bookman Old Style" w:hAnsi="Bookman Old Style" w:cstheme="minorHAnsi"/>
          <w:sz w:val="24"/>
          <w:szCs w:val="24"/>
        </w:rPr>
        <w:t xml:space="preserve"> e a capacidade de compreensão dos participantes.</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Na práxis de tal método de trabalho é preciso, primeiramente, exercer uma condução revestida de flexibilidade, na busca do interesse real dos participantes comunitários, sem cair nas malhas formais do </w:t>
      </w:r>
      <w:r w:rsidRPr="00D455CA">
        <w:rPr>
          <w:rFonts w:ascii="Bookman Old Style" w:hAnsi="Bookman Old Style" w:cstheme="minorHAnsi"/>
          <w:i/>
          <w:sz w:val="24"/>
          <w:szCs w:val="24"/>
        </w:rPr>
        <w:t>poder deliberativo</w:t>
      </w:r>
      <w:r w:rsidRPr="00D455CA">
        <w:rPr>
          <w:rFonts w:ascii="Bookman Old Style" w:hAnsi="Bookman Old Style" w:cstheme="minorHAnsi"/>
          <w:sz w:val="24"/>
          <w:szCs w:val="24"/>
        </w:rPr>
        <w:t xml:space="preserve"> e </w:t>
      </w:r>
      <w:r w:rsidRPr="00D455CA">
        <w:rPr>
          <w:rFonts w:ascii="Bookman Old Style" w:hAnsi="Bookman Old Style" w:cstheme="minorHAnsi"/>
          <w:i/>
          <w:sz w:val="24"/>
          <w:szCs w:val="24"/>
        </w:rPr>
        <w:t>paridade</w:t>
      </w:r>
      <w:r w:rsidRPr="00D455CA">
        <w:rPr>
          <w:rFonts w:ascii="Bookman Old Style" w:hAnsi="Bookman Old Style" w:cstheme="minorHAnsi"/>
          <w:sz w:val="24"/>
          <w:szCs w:val="24"/>
        </w:rPr>
        <w:t xml:space="preserve">. O desencadeamento do processo deve acontecer sob a forma de </w:t>
      </w:r>
      <w:r w:rsidRPr="00D455CA">
        <w:rPr>
          <w:rFonts w:ascii="Bookman Old Style" w:hAnsi="Bookman Old Style" w:cstheme="minorHAnsi"/>
          <w:iCs/>
          <w:sz w:val="24"/>
          <w:szCs w:val="24"/>
        </w:rPr>
        <w:t>sessões abertas,</w:t>
      </w:r>
      <w:r w:rsidRPr="00D455CA">
        <w:rPr>
          <w:rFonts w:ascii="Bookman Old Style" w:hAnsi="Bookman Old Style" w:cstheme="minorHAnsi"/>
          <w:sz w:val="24"/>
          <w:szCs w:val="24"/>
        </w:rPr>
        <w:t xml:space="preserve"> não como conselhos restritos e regulados inflexivelmente. Ainda em termos da condução, deve-se contar com a qualificação das pessoas envolvidas com relação a atribuições de mobilização, facilitação, documentação e assessoria técnica. Por último, mas não menos importante, zelar pela produção </w:t>
      </w:r>
      <w:r w:rsidRPr="00D455CA">
        <w:rPr>
          <w:rFonts w:ascii="Bookman Old Style" w:hAnsi="Bookman Old Style" w:cstheme="minorHAnsi"/>
          <w:sz w:val="24"/>
          <w:szCs w:val="24"/>
        </w:rPr>
        <w:lastRenderedPageBreak/>
        <w:t>compulsória e mediante responsabilização definida formalmente de documentos que explicitem os resultados do processo, a serem divulgados de forma acessível, seja como memória impressa, notas na internet, folders, apresentações orais e outros.</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Desta forma, é aqui proposta uma dinâmica de </w:t>
      </w:r>
      <w:r w:rsidRPr="00D455CA">
        <w:rPr>
          <w:rFonts w:ascii="Bookman Old Style" w:hAnsi="Bookman Old Style" w:cstheme="minorHAnsi"/>
          <w:i/>
          <w:iCs/>
          <w:sz w:val="24"/>
          <w:szCs w:val="24"/>
        </w:rPr>
        <w:t xml:space="preserve">participação comunitária integrativa (PCI) </w:t>
      </w:r>
      <w:r w:rsidRPr="00D455CA">
        <w:rPr>
          <w:rFonts w:ascii="Bookman Old Style" w:hAnsi="Bookman Old Style" w:cstheme="minorHAnsi"/>
          <w:sz w:val="24"/>
          <w:szCs w:val="24"/>
        </w:rPr>
        <w:t xml:space="preserve">através de um projeto piloto a ser realizado em um município(s) brasileiro(s), com apoio do Conselho Nacional de Saúde, através do qual a metodologia será aperfeiçoada na medida em que a experiência for amadurecendo. </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Além das sessões ordinárias e programadas devem se incluir, também, havendo necessidade, rodas temáticas para apurar alguns temas reincidentes, seja aqueles relacionados à gestão das unidades de saúde, aos problemas sociais que afligem a comunidade, às doenças e situações de sofrimento em geral. Neste campo, podem ser utilizados os referenciais oriundos das propostas de </w:t>
      </w:r>
      <w:r w:rsidRPr="00D455CA">
        <w:rPr>
          <w:rFonts w:ascii="Bookman Old Style" w:hAnsi="Bookman Old Style" w:cstheme="minorHAnsi"/>
          <w:i/>
          <w:iCs/>
          <w:sz w:val="24"/>
          <w:szCs w:val="24"/>
        </w:rPr>
        <w:t>pesquisa-ação</w:t>
      </w:r>
      <w:r w:rsidRPr="00D455CA">
        <w:rPr>
          <w:rFonts w:ascii="Bookman Old Style" w:hAnsi="Bookman Old Style" w:cstheme="minorHAnsi"/>
          <w:sz w:val="24"/>
          <w:szCs w:val="24"/>
        </w:rPr>
        <w:t xml:space="preserve"> existentes no cenário e também metodologia de práticas reflexivas de Paulo Freire. </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Que fique claro, também, que as práticas de </w:t>
      </w:r>
      <w:r w:rsidRPr="00D455CA">
        <w:rPr>
          <w:rFonts w:ascii="Bookman Old Style" w:hAnsi="Bookman Old Style" w:cstheme="minorHAnsi"/>
          <w:i/>
          <w:iCs/>
          <w:sz w:val="24"/>
          <w:szCs w:val="24"/>
        </w:rPr>
        <w:t xml:space="preserve">PCI </w:t>
      </w:r>
      <w:r w:rsidRPr="00D455CA">
        <w:rPr>
          <w:rFonts w:ascii="Bookman Old Style" w:hAnsi="Bookman Old Style" w:cstheme="minorHAnsi"/>
          <w:sz w:val="24"/>
          <w:szCs w:val="24"/>
        </w:rPr>
        <w:t>sejam regadas pela obrigatória interação entre as instâncias locais de saúde, as pessoas e os demais serviços e instâncias da própria comunidade.</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São os seguintes, então, os componentes de um roteiro operacional para a PCI.</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(I) Preliminares </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r w:rsidRPr="00D455CA">
        <w:rPr>
          <w:rFonts w:ascii="Bookman Old Style" w:hAnsi="Bookman Old Style" w:cstheme="minorHAnsi"/>
          <w:sz w:val="24"/>
          <w:szCs w:val="24"/>
        </w:rPr>
        <w:t xml:space="preserve">(A) Tudo deve ser iniciado por um levantamento de pessoas, fundamentalmente, e também, mais eventualmente, de entidades potencialmente interessadas no processo participativo, presentes na área de abrangência, baseado não apenas em seu grau de formalização, mas nos termos de seus reais interesses, sem preocupações quanto a qualquer forma de paridade ou obrigatoriedade de vinculação institucional. </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r w:rsidRPr="00D455CA">
        <w:rPr>
          <w:rFonts w:ascii="Bookman Old Style" w:hAnsi="Bookman Old Style" w:cstheme="minorHAnsi"/>
          <w:sz w:val="24"/>
          <w:szCs w:val="24"/>
        </w:rPr>
        <w:t xml:space="preserve">(B) A comunicação deve primar pela clareza e precisão de objetivos, estratégias e operações, aspectos a serem definidos, primeiramente, no plano interno dos serviços, com o devido cuidado para não se gerarem expectativas falsas (“poder deliberativo” ou paridade compulsória, por exemplo). </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r w:rsidRPr="00D455CA">
        <w:rPr>
          <w:rFonts w:ascii="Bookman Old Style" w:hAnsi="Bookman Old Style" w:cstheme="minorHAnsi"/>
          <w:sz w:val="24"/>
          <w:szCs w:val="24"/>
        </w:rPr>
        <w:t xml:space="preserve">(C) Na sequência deve ser pautada reunião (ou reuniões) de preparação e de esclarecimento, bem como de definição de estratégias de continuidade do processo junto aos potenciais participantes internos e externos, tendo como objetivo a informação efetiva das pessoas, mais do que a pressa ou a vontade de convencê-las, dentro de uma visão do processo e da metodologia da TCI, porém sem descuidar de prazos. </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(II) Preparação dos Facilitadores</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r w:rsidRPr="00D455CA">
        <w:rPr>
          <w:rFonts w:ascii="Bookman Old Style" w:hAnsi="Bookman Old Style" w:cstheme="minorHAnsi"/>
          <w:sz w:val="24"/>
          <w:szCs w:val="24"/>
        </w:rPr>
        <w:t xml:space="preserve">(A) Estes podem ser terapeutas comunitários já preparados anteriormente, porém com formação complementar em participação social, ou também mediante formação em TCI adaptada a sua aplicação a </w:t>
      </w:r>
      <w:r w:rsidRPr="00D455CA">
        <w:rPr>
          <w:rFonts w:ascii="Bookman Old Style" w:hAnsi="Bookman Old Style" w:cstheme="minorHAnsi"/>
          <w:i/>
          <w:iCs/>
          <w:sz w:val="24"/>
          <w:szCs w:val="24"/>
        </w:rPr>
        <w:t>participação integrativa</w:t>
      </w:r>
      <w:r w:rsidRPr="00D455CA">
        <w:rPr>
          <w:rFonts w:ascii="Bookman Old Style" w:hAnsi="Bookman Old Style" w:cstheme="minorHAnsi"/>
          <w:sz w:val="24"/>
          <w:szCs w:val="24"/>
        </w:rPr>
        <w:t xml:space="preserve"> em saúde. </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r w:rsidRPr="00D455CA">
        <w:rPr>
          <w:rFonts w:ascii="Bookman Old Style" w:hAnsi="Bookman Old Style" w:cstheme="minorHAnsi"/>
          <w:sz w:val="24"/>
          <w:szCs w:val="24"/>
        </w:rPr>
        <w:t xml:space="preserve">(B) As Rodas de TCI dentro de tal modelo seguirão as etapas habituais da TCI, porém com um olhar mais apurado dos facilitadores na identificação da problemática </w:t>
      </w:r>
      <w:r w:rsidRPr="00D455CA">
        <w:rPr>
          <w:rFonts w:ascii="Bookman Old Style" w:hAnsi="Bookman Old Style" w:cstheme="minorHAnsi"/>
          <w:sz w:val="24"/>
          <w:szCs w:val="24"/>
        </w:rPr>
        <w:lastRenderedPageBreak/>
        <w:t>comunitária, para que possam encaminhar propostas e questionamentos aos demais setores envolvidos (do Executivo, do Legislativo, do Judiciário e outros).</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(III) Localização </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r w:rsidRPr="00D455CA">
        <w:rPr>
          <w:rFonts w:ascii="Bookman Old Style" w:hAnsi="Bookman Old Style" w:cstheme="minorHAnsi"/>
          <w:sz w:val="24"/>
          <w:szCs w:val="24"/>
        </w:rPr>
        <w:t>Devem ser identificadas as unidades de saúde, de diversas naturezas, onde implantar Rodas de Terapia Comunitária a serem desenvolvidas junto à população adstrita, mediante critérios a serem definidos localmente (por exemplo, interesse já demonstrado, histórico de participação, quadro de problemas já identificados, além de disposição em cronograma e escala de prioridade).</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(IV) Periodicidade</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r w:rsidRPr="00D455CA">
        <w:rPr>
          <w:rFonts w:ascii="Bookman Old Style" w:hAnsi="Bookman Old Style" w:cstheme="minorHAnsi"/>
          <w:sz w:val="24"/>
          <w:szCs w:val="24"/>
        </w:rPr>
        <w:t xml:space="preserve">As Rodas podem ser semanais, quinzenais ou mensais, de acordo com os interesses locais, mas é importante que tenham uma periodicidade pré-estabelecida, de preferência no mesmo dia da semana e horário, de forma a criar rotina e garantir a adesão programada dos participantes, sejam facilitadores, assessores e membros comunitários. </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 xml:space="preserve">(V) Metodologia </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r w:rsidRPr="00D455CA">
        <w:rPr>
          <w:rFonts w:ascii="Bookman Old Style" w:hAnsi="Bookman Old Style" w:cstheme="minorHAnsi"/>
          <w:sz w:val="24"/>
          <w:szCs w:val="24"/>
        </w:rPr>
        <w:t xml:space="preserve">(A) Cada sessão grupal terá uma etapa para o acolhimento, apresentação das regras e dinâmica de aquecimento. </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r w:rsidRPr="00D455CA">
        <w:rPr>
          <w:rFonts w:ascii="Bookman Old Style" w:hAnsi="Bookman Old Style" w:cstheme="minorHAnsi"/>
          <w:sz w:val="24"/>
          <w:szCs w:val="24"/>
        </w:rPr>
        <w:t>(B) Em seguida os problemas serão trazidos espontaneamente pelos participantes, inicialmente de forma sintética, com posterior escolha de um problema/pessoa pelo grupo para cada encontro (</w:t>
      </w:r>
      <w:r w:rsidRPr="00D455CA">
        <w:rPr>
          <w:rFonts w:ascii="Bookman Old Style" w:hAnsi="Bookman Old Style" w:cstheme="minorHAnsi"/>
          <w:i/>
          <w:iCs/>
          <w:sz w:val="24"/>
          <w:szCs w:val="24"/>
        </w:rPr>
        <w:t>seleção do problema</w:t>
      </w:r>
      <w:r w:rsidRPr="00D455CA">
        <w:rPr>
          <w:rFonts w:ascii="Bookman Old Style" w:hAnsi="Bookman Old Style" w:cstheme="minorHAnsi"/>
          <w:sz w:val="24"/>
          <w:szCs w:val="24"/>
        </w:rPr>
        <w:t xml:space="preserve">). </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r w:rsidRPr="00D455CA">
        <w:rPr>
          <w:rFonts w:ascii="Bookman Old Style" w:hAnsi="Bookman Old Style" w:cstheme="minorHAnsi"/>
          <w:sz w:val="24"/>
          <w:szCs w:val="24"/>
        </w:rPr>
        <w:t>(C) O problema escolhido será em seguida explicitado pela pessoa que o trouxe, momento em que todos, sejam facilitadores ou participantes da comunidade, poderão fazer perguntas, (</w:t>
      </w:r>
      <w:r w:rsidRPr="00D455CA">
        <w:rPr>
          <w:rFonts w:ascii="Bookman Old Style" w:hAnsi="Bookman Old Style" w:cstheme="minorHAnsi"/>
          <w:i/>
          <w:iCs/>
          <w:sz w:val="24"/>
          <w:szCs w:val="24"/>
        </w:rPr>
        <w:t>contextualização</w:t>
      </w:r>
      <w:r w:rsidRPr="00D455CA">
        <w:rPr>
          <w:rFonts w:ascii="Bookman Old Style" w:hAnsi="Bookman Old Style" w:cstheme="minorHAnsi"/>
          <w:sz w:val="24"/>
          <w:szCs w:val="24"/>
        </w:rPr>
        <w:t xml:space="preserve">). </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r w:rsidRPr="00D455CA">
        <w:rPr>
          <w:rFonts w:ascii="Bookman Old Style" w:hAnsi="Bookman Old Style" w:cstheme="minorHAnsi"/>
          <w:sz w:val="24"/>
          <w:szCs w:val="24"/>
        </w:rPr>
        <w:t>(D) Com a questão ou problema devidamente clareado, o facilitador elabora e remete para o grupo uma questão-chave (</w:t>
      </w:r>
      <w:r w:rsidRPr="00D455CA">
        <w:rPr>
          <w:rFonts w:ascii="Bookman Old Style" w:hAnsi="Bookman Old Style" w:cstheme="minorHAnsi"/>
          <w:i/>
          <w:iCs/>
          <w:sz w:val="24"/>
          <w:szCs w:val="24"/>
        </w:rPr>
        <w:t>mote</w:t>
      </w:r>
      <w:r w:rsidRPr="00D455CA">
        <w:rPr>
          <w:rFonts w:ascii="Bookman Old Style" w:hAnsi="Bookman Old Style" w:cstheme="minorHAnsi"/>
          <w:sz w:val="24"/>
          <w:szCs w:val="24"/>
        </w:rPr>
        <w:t xml:space="preserve">), traduzida por: </w:t>
      </w:r>
      <w:r w:rsidRPr="00D455CA">
        <w:rPr>
          <w:rFonts w:ascii="Bookman Old Style" w:hAnsi="Bookman Old Style" w:cstheme="minorHAnsi"/>
          <w:i/>
          <w:iCs/>
          <w:sz w:val="24"/>
          <w:szCs w:val="24"/>
        </w:rPr>
        <w:t>quem já viveu uma situação parecida, o que fez ou está fazendo para resolver ou superar</w:t>
      </w:r>
      <w:r w:rsidRPr="00D455CA">
        <w:rPr>
          <w:rFonts w:ascii="Bookman Old Style" w:hAnsi="Bookman Old Style" w:cstheme="minorHAnsi"/>
          <w:sz w:val="24"/>
          <w:szCs w:val="24"/>
        </w:rPr>
        <w:t xml:space="preserve">? </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r w:rsidRPr="00D455CA">
        <w:rPr>
          <w:rFonts w:ascii="Bookman Old Style" w:hAnsi="Bookman Old Style" w:cstheme="minorHAnsi"/>
          <w:sz w:val="24"/>
          <w:szCs w:val="24"/>
        </w:rPr>
        <w:t xml:space="preserve">(E) Abre-se assim uma etapa de </w:t>
      </w:r>
      <w:r w:rsidRPr="00D455CA">
        <w:rPr>
          <w:rFonts w:ascii="Bookman Old Style" w:hAnsi="Bookman Old Style" w:cstheme="minorHAnsi"/>
          <w:i/>
          <w:iCs/>
          <w:sz w:val="24"/>
          <w:szCs w:val="24"/>
        </w:rPr>
        <w:t>compartilhamento de experiências</w:t>
      </w:r>
      <w:r w:rsidRPr="00D455CA">
        <w:rPr>
          <w:rFonts w:ascii="Bookman Old Style" w:hAnsi="Bookman Old Style" w:cstheme="minorHAnsi"/>
          <w:sz w:val="24"/>
          <w:szCs w:val="24"/>
        </w:rPr>
        <w:t xml:space="preserve">, envolvendo aqueles que se sentem sensibilizados pelo tema, como foco na respectiva forma de superação.  </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i/>
          <w:iCs/>
          <w:sz w:val="24"/>
          <w:szCs w:val="24"/>
        </w:rPr>
      </w:pPr>
      <w:r w:rsidRPr="00D455CA">
        <w:rPr>
          <w:rFonts w:ascii="Bookman Old Style" w:hAnsi="Bookman Old Style" w:cstheme="minorHAnsi"/>
          <w:sz w:val="24"/>
          <w:szCs w:val="24"/>
        </w:rPr>
        <w:t xml:space="preserve">(F) Após um tempo de compartilhamento, realiza-se o </w:t>
      </w:r>
      <w:r w:rsidRPr="00D455CA">
        <w:rPr>
          <w:rFonts w:ascii="Bookman Old Style" w:hAnsi="Bookman Old Style" w:cstheme="minorHAnsi"/>
          <w:i/>
          <w:iCs/>
          <w:sz w:val="24"/>
          <w:szCs w:val="24"/>
        </w:rPr>
        <w:t>fechamento da roda</w:t>
      </w:r>
      <w:r w:rsidRPr="00D455CA">
        <w:rPr>
          <w:rFonts w:ascii="Bookman Old Style" w:hAnsi="Bookman Old Style" w:cstheme="minorHAnsi"/>
          <w:sz w:val="24"/>
          <w:szCs w:val="24"/>
        </w:rPr>
        <w:t xml:space="preserve">, com todos de pé, mãos ou braços nos ombros, agradecendo a todos que falaram e participaram de alguma forma e na sequência respondendo a uma questão proposta pelo facilitador: </w:t>
      </w:r>
      <w:r w:rsidRPr="00D455CA">
        <w:rPr>
          <w:rFonts w:ascii="Bookman Old Style" w:hAnsi="Bookman Old Style" w:cstheme="minorHAnsi"/>
          <w:i/>
          <w:iCs/>
          <w:sz w:val="24"/>
          <w:szCs w:val="24"/>
        </w:rPr>
        <w:t xml:space="preserve">o que estou levando comigo e o que aprendi de fato nessa Roda? </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r w:rsidRPr="00D455CA">
        <w:rPr>
          <w:rFonts w:ascii="Bookman Old Style" w:hAnsi="Bookman Old Style" w:cstheme="minorHAnsi"/>
          <w:sz w:val="24"/>
          <w:szCs w:val="24"/>
        </w:rPr>
        <w:t xml:space="preserve">(G) Todas essas etapas devem ser permeadas por contribuições dos participantes e que ilustrem os assuntos abordados, em termos de músicas, poesias, representações e pequenas histórias. </w:t>
      </w:r>
    </w:p>
    <w:p w:rsidR="00D455CA" w:rsidRPr="00D455CA" w:rsidRDefault="00D455CA" w:rsidP="00D455CA">
      <w:pPr>
        <w:spacing w:before="100" w:beforeAutospacing="1" w:after="100" w:afterAutospacing="1" w:line="240" w:lineRule="auto"/>
        <w:jc w:val="both"/>
        <w:rPr>
          <w:rFonts w:ascii="Bookman Old Style" w:hAnsi="Bookman Old Style" w:cstheme="minorHAnsi"/>
          <w:sz w:val="24"/>
          <w:szCs w:val="24"/>
        </w:rPr>
      </w:pPr>
      <w:r w:rsidRPr="00D455CA">
        <w:rPr>
          <w:rFonts w:ascii="Bookman Old Style" w:hAnsi="Bookman Old Style" w:cstheme="minorHAnsi"/>
          <w:sz w:val="24"/>
          <w:szCs w:val="24"/>
        </w:rPr>
        <w:t>(VI) Finalização e encaminhamentos</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r w:rsidRPr="00D455CA">
        <w:rPr>
          <w:rFonts w:ascii="Bookman Old Style" w:hAnsi="Bookman Old Style" w:cstheme="minorHAnsi"/>
          <w:sz w:val="24"/>
          <w:szCs w:val="24"/>
        </w:rPr>
        <w:lastRenderedPageBreak/>
        <w:t xml:space="preserve">(A) Terminada a sessão, o grupo de facilitadores se reúne para avaliação e preenchimento das fichas de acompanhamento da Roda e elaboração dos pontos importantes trazidos pelo grupo. </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r w:rsidRPr="00D455CA">
        <w:rPr>
          <w:rFonts w:ascii="Bookman Old Style" w:hAnsi="Bookman Old Style" w:cstheme="minorHAnsi"/>
          <w:sz w:val="24"/>
          <w:szCs w:val="24"/>
        </w:rPr>
        <w:t xml:space="preserve">(B) Deve ser desenvolvido previamente um instrumento de avaliação/relato especifico direcionado aos objetivos da micro participação social. </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r w:rsidRPr="00D455CA">
        <w:rPr>
          <w:rFonts w:ascii="Bookman Old Style" w:hAnsi="Bookman Old Style" w:cstheme="minorHAnsi"/>
          <w:sz w:val="24"/>
          <w:szCs w:val="24"/>
        </w:rPr>
        <w:t xml:space="preserve">(C) Os facilitadores, de forma coletiva ou mediante a designação de um relator organizarão a compilação das questões e propostas levantadas pelo grupo e direcioná-la sob a forma de documento(s) aos canais competentes, tais como Conselhos e Conferências de Saúde, órgãos do Executivo, do Legislativo e do Judiciário, outras instituições, serviços comunitários, Ongs etc. </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r w:rsidRPr="00D455CA">
        <w:rPr>
          <w:rFonts w:ascii="Bookman Old Style" w:hAnsi="Bookman Old Style" w:cstheme="minorHAnsi"/>
          <w:sz w:val="24"/>
          <w:szCs w:val="24"/>
        </w:rPr>
        <w:t xml:space="preserve">(D) Neste momento cabe também traçar os próximos passos de tal processo de </w:t>
      </w:r>
      <w:r w:rsidRPr="00D455CA">
        <w:rPr>
          <w:rFonts w:ascii="Bookman Old Style" w:hAnsi="Bookman Old Style" w:cstheme="minorHAnsi"/>
          <w:i/>
          <w:sz w:val="24"/>
          <w:szCs w:val="24"/>
        </w:rPr>
        <w:t>participação integrativa,</w:t>
      </w:r>
      <w:r w:rsidRPr="00D455CA">
        <w:rPr>
          <w:rFonts w:ascii="Bookman Old Style" w:hAnsi="Bookman Old Style" w:cstheme="minorHAnsi"/>
          <w:iCs/>
          <w:sz w:val="24"/>
          <w:szCs w:val="24"/>
        </w:rPr>
        <w:t xml:space="preserve"> com encaminhamento e acompanhamento dos </w:t>
      </w:r>
      <w:r w:rsidRPr="00D455CA">
        <w:rPr>
          <w:rFonts w:ascii="Bookman Old Style" w:hAnsi="Bookman Old Style" w:cstheme="minorHAnsi"/>
          <w:sz w:val="24"/>
          <w:szCs w:val="24"/>
        </w:rPr>
        <w:t>relatórios e demais documentos relativos às demandas trazidas pelas rodas. (E) A partir dos desdobramentos dessa aplicação prática, serão programados os próximos passos de tal participação integrativa visando sua expansão e difusão para outras áreas geográficas ou unidades de saúde.</w:t>
      </w:r>
    </w:p>
    <w:p w:rsidR="00D455CA" w:rsidRPr="00D455CA" w:rsidRDefault="00D455CA" w:rsidP="00D455CA">
      <w:pPr>
        <w:spacing w:before="100" w:beforeAutospacing="1" w:after="100" w:afterAutospacing="1" w:line="240" w:lineRule="auto"/>
        <w:ind w:left="708"/>
        <w:jc w:val="both"/>
        <w:rPr>
          <w:rFonts w:ascii="Bookman Old Style" w:hAnsi="Bookman Old Style" w:cstheme="minorHAnsi"/>
          <w:sz w:val="24"/>
          <w:szCs w:val="24"/>
        </w:rPr>
      </w:pPr>
    </w:p>
    <w:p w:rsidR="00D455CA" w:rsidRPr="005E0FA1" w:rsidRDefault="00D455CA" w:rsidP="00D455CA">
      <w:pPr>
        <w:spacing w:before="100" w:beforeAutospacing="1" w:after="100" w:afterAutospacing="1" w:line="240" w:lineRule="auto"/>
        <w:ind w:left="708"/>
        <w:jc w:val="both"/>
        <w:rPr>
          <w:rFonts w:ascii="Bookman Old Style" w:hAnsi="Bookman Old Style" w:cstheme="minorHAnsi"/>
          <w:b/>
          <w:bCs/>
        </w:rPr>
      </w:pPr>
      <w:r w:rsidRPr="005E0FA1">
        <w:rPr>
          <w:rFonts w:ascii="Bookman Old Style" w:hAnsi="Bookman Old Style" w:cstheme="minorHAnsi"/>
          <w:b/>
          <w:bCs/>
        </w:rPr>
        <w:t xml:space="preserve">  ***</w:t>
      </w:r>
    </w:p>
    <w:p w:rsidR="00D455CA" w:rsidRPr="005E0FA1" w:rsidRDefault="00D455CA" w:rsidP="00D455CA">
      <w:pPr>
        <w:spacing w:before="100" w:beforeAutospacing="1" w:after="100" w:afterAutospacing="1" w:line="240" w:lineRule="auto"/>
        <w:jc w:val="both"/>
        <w:rPr>
          <w:rFonts w:ascii="Bookman Old Style" w:hAnsi="Bookman Old Style"/>
          <w:b/>
          <w:bCs/>
        </w:rPr>
      </w:pPr>
      <w:r w:rsidRPr="005E0FA1">
        <w:rPr>
          <w:rFonts w:ascii="Bookman Old Style" w:hAnsi="Bookman Old Style"/>
          <w:b/>
          <w:bCs/>
        </w:rPr>
        <w:t>REFERÊNCIAS BIBLIOGRÁFICAS</w:t>
      </w:r>
    </w:p>
    <w:p w:rsidR="00D455CA" w:rsidRPr="005E0FA1" w:rsidRDefault="00D455CA" w:rsidP="00D455CA">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BARRETO, A. Terapia Comunitária passo a passo. Fortaleza: Gráfica LCR. 2008.</w:t>
      </w:r>
    </w:p>
    <w:p w:rsidR="00D455CA" w:rsidRPr="005E0FA1" w:rsidRDefault="00D455CA" w:rsidP="00D455CA">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BARRETO, A. Terapia Comunitária: construyendo redes de solidaridad. The Oaxaca Book. Pg140-141. 2010.</w:t>
      </w:r>
    </w:p>
    <w:p w:rsidR="00D455CA" w:rsidRPr="005E0FA1" w:rsidRDefault="00D455CA" w:rsidP="00D455CA">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CAMAROTTI, M.H., FREIRE, T.C.G.P. e BARRETO, A. Terapia Comunitária Integrativa sem fronteiras. Brasília: MismecDF. 2011.</w:t>
      </w:r>
    </w:p>
    <w:p w:rsidR="00D455CA" w:rsidRPr="005E0FA1" w:rsidRDefault="00D455CA" w:rsidP="00D455CA">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CAMAROTTI, M.H.; MELO, D. A.; SOUZA, S.M.C.; MELO, R. e BASTOS, H. Levantamento das informações advindas da formação da Terapia Comunitária Integrativa realizada pelo MismecDF no período 2001 a 2010. In: Temas em Educação e Saúde. Pg 33-68. v.8. Centro de Pesquisas da Infância e da Adolescência – CENPE.. 2012.</w:t>
      </w:r>
    </w:p>
    <w:p w:rsidR="00D455CA" w:rsidRPr="005E0FA1" w:rsidRDefault="00D455CA" w:rsidP="00D455CA">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CAMAROTTI, M.H.; FREIRE, T. e BARRETO, A. A Terapia Comunitária Integrativa no cuidado da saúde mental. Brasília : Editora Kiron. 2013. </w:t>
      </w:r>
      <w:hyperlink r:id="rId8" w:history="1">
        <w:r w:rsidRPr="005E0FA1">
          <w:rPr>
            <w:rStyle w:val="Hyperlink"/>
            <w:rFonts w:ascii="Bookman Old Style" w:hAnsi="Bookman Old Style" w:cstheme="minorHAnsi"/>
          </w:rPr>
          <w:t>https://www.amazon.com.br/TERAPIA-COMUNIT%C3%81RIA-INTEGRATIVA-CUIDADO-MENTAL-ebook/dp/B09ZQ31LS2/ref=sr_1_5?__mk_pt_BR=%C3%85M%C3%85%C5%BD%C3%95%C3%91&amp;crid=5BC4UQDAYJ3F&amp;keywords=Maria+Henriqueta+Camarotti&amp;qid=1652101111&amp;sprefix=maria+henriqueta+camarotti%2Caps%2C231&amp;sr=8-5</w:t>
        </w:r>
      </w:hyperlink>
      <w:r w:rsidRPr="005E0FA1">
        <w:rPr>
          <w:rFonts w:ascii="Bookman Old Style" w:hAnsi="Bookman Old Style" w:cstheme="minorHAnsi"/>
        </w:rPr>
        <w:t xml:space="preserve"> </w:t>
      </w:r>
    </w:p>
    <w:p w:rsidR="00D455CA" w:rsidRPr="005E0FA1" w:rsidRDefault="00D455CA" w:rsidP="00D455CA">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CAMAROTTI, M.H. Terapia Comunitária: trabajando la salud em espacios públicos. The Oaxaca Book. 2010.pg 142-143.</w:t>
      </w:r>
    </w:p>
    <w:p w:rsidR="00D455CA" w:rsidRPr="005E0FA1" w:rsidRDefault="00D455CA" w:rsidP="00D455CA">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CAMAROTTI, M.H. e GOMES, D.O. Terapia Comunitária: a circularidade nas relações sociais. In: OSORIO, L.C. e VALLE, M.E.P. Manual de Terapia Familiar. Porto Alegre: Artmed. 2014.</w:t>
      </w:r>
    </w:p>
    <w:p w:rsidR="00D455CA" w:rsidRPr="005E0FA1" w:rsidRDefault="00D455CA" w:rsidP="00D455CA">
      <w:pPr>
        <w:pStyle w:val="PargrafodaLista"/>
        <w:numPr>
          <w:ilvl w:val="0"/>
          <w:numId w:val="1"/>
        </w:numPr>
        <w:spacing w:before="100" w:beforeAutospacing="1" w:after="100" w:afterAutospacing="1" w:line="240" w:lineRule="auto"/>
        <w:jc w:val="both"/>
        <w:rPr>
          <w:rFonts w:ascii="Bookman Old Style" w:hAnsi="Bookman Old Style"/>
          <w:lang w:val="en-US"/>
        </w:rPr>
      </w:pPr>
      <w:r w:rsidRPr="005E0FA1">
        <w:rPr>
          <w:rFonts w:ascii="Bookman Old Style" w:hAnsi="Bookman Old Style" w:cstheme="minorHAnsi"/>
        </w:rPr>
        <w:t xml:space="preserve">GOULART, F. Terapia Comunitária Integrativa e Estratégia de Saúde da Família: práticas convergentes. In: CAMAROTTI, M.H.; FREIRE, T.C.G.P. e BARRETO, A. Terapia Comunitária sem Fronteiras. Pg. 337-362. Brasília: MismecDF. 2011.   </w:t>
      </w:r>
    </w:p>
    <w:p w:rsidR="00D455CA" w:rsidRPr="008F1E00" w:rsidRDefault="00D455CA" w:rsidP="00D455CA">
      <w:pPr>
        <w:pStyle w:val="PargrafodaLista"/>
        <w:numPr>
          <w:ilvl w:val="0"/>
          <w:numId w:val="1"/>
        </w:numPr>
        <w:spacing w:before="100" w:beforeAutospacing="1" w:after="100" w:afterAutospacing="1" w:line="240" w:lineRule="auto"/>
        <w:jc w:val="both"/>
        <w:rPr>
          <w:rFonts w:ascii="Bookman Old Style" w:hAnsi="Bookman Old Style"/>
        </w:rPr>
      </w:pPr>
      <w:r w:rsidRPr="008F1E00">
        <w:rPr>
          <w:rFonts w:ascii="Bookman Old Style" w:hAnsi="Bookman Old Style" w:cstheme="minorHAnsi"/>
        </w:rPr>
        <w:t xml:space="preserve">GOULART, F. Dilemas da Participação Social em Saúde no Brasil. Saúde em Debate </w:t>
      </w:r>
      <w:r w:rsidRPr="005E0FA1">
        <w:rPr>
          <w:rFonts w:ascii="Bookman Old Style" w:hAnsi="Bookman Old Style" w:cs="Arial"/>
          <w:color w:val="000000"/>
          <w:shd w:val="clear" w:color="auto" w:fill="FCFCFC"/>
        </w:rPr>
        <w:t>V.34, N.84 - jan./mar. 2010.</w:t>
      </w:r>
    </w:p>
    <w:p w:rsidR="00D455CA" w:rsidRPr="005E0FA1" w:rsidRDefault="00D455CA" w:rsidP="00D455CA">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GRANDESSO, M. Aplicabilidad de la Terapia Comunitária – dialogo entre diferentes contextos. The Oaxaca Book. Pg 144-145. 2010.</w:t>
      </w:r>
    </w:p>
    <w:p w:rsidR="00D455CA" w:rsidRPr="005E0FA1" w:rsidRDefault="00D455CA" w:rsidP="00D455CA">
      <w:pPr>
        <w:pStyle w:val="PargrafodaLista"/>
        <w:numPr>
          <w:ilvl w:val="0"/>
          <w:numId w:val="1"/>
        </w:numPr>
        <w:spacing w:before="100" w:beforeAutospacing="1" w:after="100" w:afterAutospacing="1" w:line="240" w:lineRule="auto"/>
        <w:jc w:val="both"/>
        <w:rPr>
          <w:rFonts w:ascii="Bookman Old Style" w:hAnsi="Bookman Old Style" w:cstheme="minorHAnsi"/>
          <w:lang w:val="en-US"/>
        </w:rPr>
      </w:pPr>
      <w:r w:rsidRPr="005E0FA1">
        <w:rPr>
          <w:rFonts w:ascii="Bookman Old Style" w:hAnsi="Bookman Old Style" w:cstheme="minorHAnsi"/>
          <w:lang w:val="en-US"/>
        </w:rPr>
        <w:lastRenderedPageBreak/>
        <w:t>HUGON, N. BRANCHEREAU, B. e VELASQUEZ, N. Community Therapy as a means to help alcoholic patients and their families to resume dialogue in a specialized nursing home for alcoholic inpatients. The Oaxaca Book. pg 54-59. 2010.</w:t>
      </w:r>
    </w:p>
    <w:p w:rsidR="00E9157D" w:rsidRDefault="00E9157D"/>
    <w:sectPr w:rsidR="00E9157D" w:rsidSect="008F1E00">
      <w:headerReference w:type="default" r:id="rId9"/>
      <w:pgSz w:w="11906" w:h="16838"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29B9" w:rsidRDefault="002F29B9" w:rsidP="00D455CA">
      <w:pPr>
        <w:spacing w:after="0" w:line="240" w:lineRule="auto"/>
      </w:pPr>
      <w:r>
        <w:separator/>
      </w:r>
    </w:p>
  </w:endnote>
  <w:endnote w:type="continuationSeparator" w:id="0">
    <w:p w:rsidR="002F29B9" w:rsidRDefault="002F29B9" w:rsidP="00D455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29B9" w:rsidRDefault="002F29B9" w:rsidP="00D455CA">
      <w:pPr>
        <w:spacing w:after="0" w:line="240" w:lineRule="auto"/>
      </w:pPr>
      <w:r>
        <w:separator/>
      </w:r>
    </w:p>
  </w:footnote>
  <w:footnote w:type="continuationSeparator" w:id="0">
    <w:p w:rsidR="002F29B9" w:rsidRDefault="002F29B9" w:rsidP="00D455CA">
      <w:pPr>
        <w:spacing w:after="0" w:line="240" w:lineRule="auto"/>
      </w:pPr>
      <w:r>
        <w:continuationSeparator/>
      </w:r>
    </w:p>
  </w:footnote>
  <w:footnote w:id="1">
    <w:p w:rsidR="00D455CA" w:rsidRDefault="00D455CA">
      <w:pPr>
        <w:pStyle w:val="Textodenotaderodap"/>
      </w:pPr>
      <w:r>
        <w:rPr>
          <w:rStyle w:val="Refdenotaderodap"/>
        </w:rPr>
        <w:footnoteRef/>
      </w:r>
      <w:r>
        <w:t xml:space="preserve"> Médico, Doutor em Saúde Pública, ex-gestor público em saúde nos níveis federal e municipal, ex-consultor da OPAS </w:t>
      </w:r>
      <w:hyperlink r:id="rId1" w:history="1">
        <w:r w:rsidRPr="00841B3E">
          <w:rPr>
            <w:rStyle w:val="Hyperlink"/>
          </w:rPr>
          <w:t>https://saudenodf.com.br/author/saudenodfblog/</w:t>
        </w:r>
      </w:hyperlink>
      <w:r>
        <w:t xml:space="preserve"> </w:t>
      </w:r>
    </w:p>
  </w:footnote>
  <w:footnote w:id="2">
    <w:p w:rsidR="00D455CA" w:rsidRDefault="00D455CA">
      <w:pPr>
        <w:pStyle w:val="Textodenotaderodap"/>
      </w:pPr>
      <w:r>
        <w:rPr>
          <w:rStyle w:val="Refdenotaderodap"/>
        </w:rPr>
        <w:footnoteRef/>
      </w:r>
      <w:r>
        <w:t xml:space="preserve"> Neuropsiquiatra, mestre em psicologia, gestalterapeuta, terapeuta comunitária integrativa e formadora dessa metodologia, autora de livros sobre a Terapia Comunitária Integrativa e Terapia Transessencial</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2426338"/>
      <w:docPartObj>
        <w:docPartGallery w:val="Page Numbers (Top of Page)"/>
        <w:docPartUnique/>
      </w:docPartObj>
    </w:sdtPr>
    <w:sdtEndPr/>
    <w:sdtContent>
      <w:p w:rsidR="00021EC6" w:rsidRDefault="00021EC6">
        <w:pPr>
          <w:pStyle w:val="Cabealho"/>
          <w:jc w:val="right"/>
        </w:pPr>
        <w:r>
          <w:fldChar w:fldCharType="begin"/>
        </w:r>
        <w:r>
          <w:instrText>PAGE   \* MERGEFORMAT</w:instrText>
        </w:r>
        <w:r>
          <w:fldChar w:fldCharType="separate"/>
        </w:r>
        <w:r w:rsidR="009D0BE8">
          <w:rPr>
            <w:noProof/>
          </w:rPr>
          <w:t>1</w:t>
        </w:r>
        <w:r>
          <w:fldChar w:fldCharType="end"/>
        </w:r>
      </w:p>
    </w:sdtContent>
  </w:sdt>
  <w:p w:rsidR="00021EC6" w:rsidRDefault="00021EC6">
    <w:pPr>
      <w:pStyle w:val="Cabealh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1117CB"/>
    <w:multiLevelType w:val="hybridMultilevel"/>
    <w:tmpl w:val="15885D2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55CA"/>
    <w:rsid w:val="00021EC6"/>
    <w:rsid w:val="002F29B9"/>
    <w:rsid w:val="00705D69"/>
    <w:rsid w:val="007325E7"/>
    <w:rsid w:val="007F47C8"/>
    <w:rsid w:val="009D0BE8"/>
    <w:rsid w:val="00A302BE"/>
    <w:rsid w:val="00D455CA"/>
    <w:rsid w:val="00E9157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EEAD43-BB52-40EC-B43D-F3EACBF98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before="100" w:beforeAutospacing="1" w:after="100" w:afterAutospacing="1"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55CA"/>
    <w:pPr>
      <w:spacing w:before="0" w:beforeAutospacing="0" w:after="200" w:afterAutospacing="0" w:line="27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D455CA"/>
    <w:pPr>
      <w:ind w:left="720"/>
      <w:contextualSpacing/>
    </w:pPr>
  </w:style>
  <w:style w:type="character" w:styleId="Hyperlink">
    <w:name w:val="Hyperlink"/>
    <w:basedOn w:val="Fontepargpadro"/>
    <w:uiPriority w:val="99"/>
    <w:unhideWhenUsed/>
    <w:rsid w:val="00D455CA"/>
    <w:rPr>
      <w:color w:val="0563C1" w:themeColor="hyperlink"/>
      <w:u w:val="single"/>
    </w:rPr>
  </w:style>
  <w:style w:type="paragraph" w:styleId="Textodenotaderodap">
    <w:name w:val="footnote text"/>
    <w:basedOn w:val="Normal"/>
    <w:link w:val="TextodenotaderodapChar"/>
    <w:uiPriority w:val="99"/>
    <w:semiHidden/>
    <w:unhideWhenUsed/>
    <w:rsid w:val="00D455CA"/>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D455CA"/>
    <w:rPr>
      <w:sz w:val="20"/>
      <w:szCs w:val="20"/>
    </w:rPr>
  </w:style>
  <w:style w:type="character" w:styleId="Refdenotaderodap">
    <w:name w:val="footnote reference"/>
    <w:basedOn w:val="Fontepargpadro"/>
    <w:uiPriority w:val="99"/>
    <w:semiHidden/>
    <w:unhideWhenUsed/>
    <w:rsid w:val="00D455CA"/>
    <w:rPr>
      <w:vertAlign w:val="superscript"/>
    </w:rPr>
  </w:style>
  <w:style w:type="paragraph" w:styleId="Textodebalo">
    <w:name w:val="Balloon Text"/>
    <w:basedOn w:val="Normal"/>
    <w:link w:val="TextodebaloChar"/>
    <w:uiPriority w:val="99"/>
    <w:semiHidden/>
    <w:unhideWhenUsed/>
    <w:rsid w:val="00021EC6"/>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021EC6"/>
    <w:rPr>
      <w:rFonts w:ascii="Segoe UI" w:hAnsi="Segoe UI" w:cs="Segoe UI"/>
      <w:sz w:val="18"/>
      <w:szCs w:val="18"/>
    </w:rPr>
  </w:style>
  <w:style w:type="paragraph" w:styleId="Cabealho">
    <w:name w:val="header"/>
    <w:basedOn w:val="Normal"/>
    <w:link w:val="CabealhoChar"/>
    <w:uiPriority w:val="99"/>
    <w:unhideWhenUsed/>
    <w:rsid w:val="00021EC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21EC6"/>
  </w:style>
  <w:style w:type="paragraph" w:styleId="Rodap">
    <w:name w:val="footer"/>
    <w:basedOn w:val="Normal"/>
    <w:link w:val="RodapChar"/>
    <w:uiPriority w:val="99"/>
    <w:unhideWhenUsed/>
    <w:rsid w:val="00021EC6"/>
    <w:pPr>
      <w:tabs>
        <w:tab w:val="center" w:pos="4252"/>
        <w:tab w:val="right" w:pos="8504"/>
      </w:tabs>
      <w:spacing w:after="0" w:line="240" w:lineRule="auto"/>
    </w:pPr>
  </w:style>
  <w:style w:type="character" w:customStyle="1" w:styleId="RodapChar">
    <w:name w:val="Rodapé Char"/>
    <w:basedOn w:val="Fontepargpadro"/>
    <w:link w:val="Rodap"/>
    <w:uiPriority w:val="99"/>
    <w:rsid w:val="00021E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br/TERAPIA-COMUNIT%C3%81RIA-INTEGRATIVA-CUIDADO-MENTAL-ebook/dp/B09ZQ31LS2/ref=sr_1_5?__mk_pt_BR=%C3%85M%C3%85%C5%BD%C3%95%C3%91&amp;crid=5BC4UQDAYJ3F&amp;keywords=Maria+Henriqueta+Camarotti&amp;qid=1652101111&amp;sprefix=maria+henriqueta+camarotti%2Caps%2C231&amp;sr=8-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saudenodf.com.br/author/saudenodfblog/"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28E4E1-A529-4EE9-B6C4-A5DA4FE53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3516</Words>
  <Characters>18988</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HENRIQUETA</dc:creator>
  <cp:keywords/>
  <dc:description/>
  <cp:lastModifiedBy>HENRIQUETA</cp:lastModifiedBy>
  <cp:revision>2</cp:revision>
  <cp:lastPrinted>2023-05-12T16:50:00Z</cp:lastPrinted>
  <dcterms:created xsi:type="dcterms:W3CDTF">2023-05-12T22:52:00Z</dcterms:created>
  <dcterms:modified xsi:type="dcterms:W3CDTF">2023-05-12T22:52:00Z</dcterms:modified>
</cp:coreProperties>
</file>